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FD75C" w14:textId="422E02B7" w:rsidR="00A577B4" w:rsidRPr="00B42EDA" w:rsidRDefault="00A577B4" w:rsidP="00951BA9">
      <w:pPr>
        <w:spacing w:line="360" w:lineRule="auto"/>
        <w:jc w:val="right"/>
        <w:rPr>
          <w:rFonts w:ascii="Times New Roman" w:hAnsi="Times New Roman" w:cs="Times New Roman"/>
          <w:u w:val="single"/>
        </w:rPr>
      </w:pPr>
      <w:r w:rsidRPr="00B42EDA">
        <w:rPr>
          <w:rFonts w:ascii="Times New Roman" w:hAnsi="Times New Roman" w:cs="Times New Roman"/>
          <w:u w:val="single"/>
        </w:rPr>
        <w:t>Projekt</w:t>
      </w:r>
    </w:p>
    <w:p w14:paraId="6C31E612" w14:textId="67509983" w:rsidR="00A577B4" w:rsidRPr="00B42EDA" w:rsidRDefault="004E54C9" w:rsidP="00951BA9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42EDA">
        <w:rPr>
          <w:rFonts w:ascii="Times New Roman" w:hAnsi="Times New Roman" w:cs="Times New Roman"/>
          <w:b/>
          <w:bCs/>
        </w:rPr>
        <w:t xml:space="preserve">  </w:t>
      </w:r>
      <w:r w:rsidR="00A577B4" w:rsidRPr="00B42EDA">
        <w:rPr>
          <w:rFonts w:ascii="Times New Roman" w:hAnsi="Times New Roman" w:cs="Times New Roman"/>
          <w:b/>
          <w:bCs/>
        </w:rPr>
        <w:t>USTAWA</w:t>
      </w:r>
    </w:p>
    <w:p w14:paraId="40EC883A" w14:textId="4C38572E" w:rsidR="00A577B4" w:rsidRPr="00B42EDA" w:rsidRDefault="00A577B4" w:rsidP="00951BA9">
      <w:pPr>
        <w:spacing w:line="360" w:lineRule="auto"/>
        <w:jc w:val="center"/>
        <w:rPr>
          <w:rFonts w:ascii="Times New Roman" w:hAnsi="Times New Roman" w:cs="Times New Roman"/>
        </w:rPr>
      </w:pPr>
      <w:r w:rsidRPr="00B42EDA">
        <w:rPr>
          <w:rFonts w:ascii="Times New Roman" w:hAnsi="Times New Roman" w:cs="Times New Roman"/>
        </w:rPr>
        <w:t xml:space="preserve">z dnia </w:t>
      </w:r>
    </w:p>
    <w:p w14:paraId="6E9705DF" w14:textId="1C2D7B70" w:rsidR="00A577B4" w:rsidRPr="00B42EDA" w:rsidRDefault="00191F06" w:rsidP="00951BA9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42EDA">
        <w:rPr>
          <w:rFonts w:ascii="Times New Roman" w:hAnsi="Times New Roman" w:cs="Times New Roman"/>
          <w:b/>
          <w:bCs/>
        </w:rPr>
        <w:t xml:space="preserve">o zmianie ustawy </w:t>
      </w:r>
      <w:r w:rsidR="006C4924" w:rsidRPr="00B42EDA">
        <w:rPr>
          <w:rFonts w:ascii="Times New Roman" w:hAnsi="Times New Roman" w:cs="Times New Roman"/>
          <w:b/>
          <w:bCs/>
        </w:rPr>
        <w:t xml:space="preserve">o Sądzie Najwyższym </w:t>
      </w:r>
    </w:p>
    <w:p w14:paraId="1CAC30A8" w14:textId="6AA1A2A3" w:rsidR="00191F06" w:rsidRPr="00B42EDA" w:rsidRDefault="00A237EE" w:rsidP="00951BA9">
      <w:pPr>
        <w:spacing w:line="360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B42EDA">
        <w:rPr>
          <w:rFonts w:ascii="Times New Roman" w:hAnsi="Times New Roman" w:cs="Times New Roman"/>
          <w:b/>
          <w:bCs/>
        </w:rPr>
        <w:t xml:space="preserve">Art. 1. </w:t>
      </w:r>
      <w:r w:rsidRPr="00B42EDA">
        <w:rPr>
          <w:rFonts w:ascii="Times New Roman" w:hAnsi="Times New Roman" w:cs="Times New Roman"/>
        </w:rPr>
        <w:t>W ustawie z dnia 8 grudnia 2017 r. o Sądzie Najwyższym (Dz. U. ....) wprowadza się następujące zmiany:</w:t>
      </w:r>
    </w:p>
    <w:p w14:paraId="79A8E8F8" w14:textId="1B9CCA29" w:rsidR="00A237EE" w:rsidRPr="00B42EDA" w:rsidRDefault="00A237EE" w:rsidP="00951BA9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B42EDA">
        <w:rPr>
          <w:rFonts w:ascii="Times New Roman" w:hAnsi="Times New Roman" w:cs="Times New Roman"/>
        </w:rPr>
        <w:t>w art. 89:</w:t>
      </w:r>
    </w:p>
    <w:p w14:paraId="67FF73DA" w14:textId="77777777" w:rsidR="00EF646F" w:rsidRPr="00B42EDA" w:rsidRDefault="00EF646F" w:rsidP="00951BA9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B42EDA">
        <w:rPr>
          <w:rFonts w:ascii="Times New Roman" w:hAnsi="Times New Roman" w:cs="Times New Roman"/>
        </w:rPr>
        <w:t xml:space="preserve">§2 otrzymuje brzmienie: </w:t>
      </w:r>
    </w:p>
    <w:p w14:paraId="0C4DFFAD" w14:textId="52DD1D67" w:rsidR="00191F06" w:rsidRPr="00B42EDA" w:rsidRDefault="00EF646F" w:rsidP="00951BA9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</w:rPr>
      </w:pPr>
      <w:r w:rsidRPr="00B42EDA">
        <w:rPr>
          <w:rFonts w:ascii="Times New Roman" w:hAnsi="Times New Roman" w:cs="Times New Roman"/>
        </w:rPr>
        <w:t xml:space="preserve">„§2. </w:t>
      </w:r>
      <w:r w:rsidR="00191F06" w:rsidRPr="00B42EDA">
        <w:rPr>
          <w:rFonts w:ascii="Times New Roman" w:hAnsi="Times New Roman" w:cs="Times New Roman"/>
        </w:rPr>
        <w:t>Skargę nadzwyczajną może wnieść strona</w:t>
      </w:r>
      <w:r w:rsidR="006B5472" w:rsidRPr="00B42EDA">
        <w:rPr>
          <w:rFonts w:ascii="Times New Roman" w:hAnsi="Times New Roman" w:cs="Times New Roman"/>
        </w:rPr>
        <w:t xml:space="preserve"> niebędąca prokuratorem</w:t>
      </w:r>
      <w:r w:rsidR="00191F06" w:rsidRPr="00B42EDA">
        <w:rPr>
          <w:rFonts w:ascii="Times New Roman" w:hAnsi="Times New Roman" w:cs="Times New Roman"/>
        </w:rPr>
        <w:t>, Prokurator Generalny, Rzecznik Praw Obywatelskich oraz, w zakresie swojej właściwości, Prezes Prokuratorii Generalnej Rzeczypospolitej Polskiej, Rzecznik Praw Dziecka, Rzecznik Praw Pacjenta, Przewodniczący Komisji Nadzoru Finansowego, Rzecznik Finansowy, Rzecznik Małych i Średnich Przedsiębiorców i Prezes Urzędu Ochrony Konkurencji i Konsumentów.</w:t>
      </w:r>
      <w:r w:rsidRPr="00B42EDA">
        <w:rPr>
          <w:rFonts w:ascii="Times New Roman" w:hAnsi="Times New Roman" w:cs="Times New Roman"/>
        </w:rPr>
        <w:t>”</w:t>
      </w:r>
      <w:r w:rsidR="00473724" w:rsidRPr="00B42EDA">
        <w:rPr>
          <w:rFonts w:ascii="Times New Roman" w:hAnsi="Times New Roman" w:cs="Times New Roman"/>
        </w:rPr>
        <w:t>,</w:t>
      </w:r>
    </w:p>
    <w:p w14:paraId="743FE655" w14:textId="77777777" w:rsidR="00EF646F" w:rsidRPr="00B42EDA" w:rsidRDefault="00EF646F" w:rsidP="00951BA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B42EDA">
        <w:rPr>
          <w:rFonts w:ascii="Times New Roman" w:hAnsi="Times New Roman" w:cs="Times New Roman"/>
        </w:rPr>
        <w:t>§3 otrzymuje brzmienie:</w:t>
      </w:r>
    </w:p>
    <w:p w14:paraId="5038E3C5" w14:textId="77777777" w:rsidR="00FE3B9E" w:rsidRPr="00B42EDA" w:rsidRDefault="00EF646F" w:rsidP="00951BA9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</w:rPr>
      </w:pPr>
      <w:r w:rsidRPr="00B42EDA">
        <w:rPr>
          <w:rFonts w:ascii="Times New Roman" w:hAnsi="Times New Roman" w:cs="Times New Roman"/>
        </w:rPr>
        <w:t xml:space="preserve">„§3. </w:t>
      </w:r>
      <w:r w:rsidR="00FE3B9E" w:rsidRPr="00B42EDA">
        <w:rPr>
          <w:rFonts w:ascii="Times New Roman" w:hAnsi="Times New Roman" w:cs="Times New Roman"/>
        </w:rPr>
        <w:t>Termin do wniesienia skargi nadzwyczajnej:</w:t>
      </w:r>
    </w:p>
    <w:p w14:paraId="528C7647" w14:textId="13C579AF" w:rsidR="00FE3B9E" w:rsidRPr="00B42EDA" w:rsidRDefault="00FE3B9E" w:rsidP="00951BA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B42EDA">
        <w:rPr>
          <w:rFonts w:ascii="Times New Roman" w:hAnsi="Times New Roman" w:cs="Times New Roman"/>
        </w:rPr>
        <w:t>przez stronę - wynosi 6 miesięcy od dnia uprawomocnienia się orzeczenia</w:t>
      </w:r>
      <w:r w:rsidR="00790068" w:rsidRPr="00B42EDA">
        <w:rPr>
          <w:rFonts w:ascii="Times New Roman" w:hAnsi="Times New Roman" w:cs="Times New Roman"/>
        </w:rPr>
        <w:t xml:space="preserve">; </w:t>
      </w:r>
    </w:p>
    <w:p w14:paraId="2F722FC3" w14:textId="4222642B" w:rsidR="00FE3B9E" w:rsidRPr="00B42EDA" w:rsidRDefault="00790068" w:rsidP="00951BA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B42EDA">
        <w:rPr>
          <w:rFonts w:ascii="Times New Roman" w:hAnsi="Times New Roman" w:cs="Times New Roman"/>
        </w:rPr>
        <w:t xml:space="preserve">przez Prokuratora Generalnego, Rzecznika Praw Obywatelskich, Prezesa Prokuratorii Generalnej Rzeczypospolitej Polskiej, Rzecznika Praw Dziecka, Rzecznika Praw Pacjenta, Przewodniczącego Komisji Nadzoru Finansowego, Rzecznika Finansowego, Rzecznika Małych i Średnich Przedsiębiorców i Prezesa Urzędu Ochrony Konkurencji i Konsumentów – wynosi </w:t>
      </w:r>
      <w:r w:rsidR="00A237EE" w:rsidRPr="00B42EDA">
        <w:rPr>
          <w:rFonts w:ascii="Times New Roman" w:hAnsi="Times New Roman" w:cs="Times New Roman"/>
        </w:rPr>
        <w:t>5 lat od dnia uprawomocnienia się zaskarżonego orzeczenia, a jeżeli od orzeczenia została wniesiona kasacja albo skarga kasacyjna - rok od dnia ich rozpoznania.</w:t>
      </w:r>
      <w:r w:rsidR="00473724" w:rsidRPr="00B42EDA">
        <w:rPr>
          <w:rFonts w:ascii="Times New Roman" w:hAnsi="Times New Roman" w:cs="Times New Roman"/>
        </w:rPr>
        <w:t>”,</w:t>
      </w:r>
    </w:p>
    <w:p w14:paraId="5582CB9B" w14:textId="7DB64BCA" w:rsidR="00790068" w:rsidRPr="00B42EDA" w:rsidRDefault="00EF646F" w:rsidP="00951BA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B42EDA">
        <w:rPr>
          <w:rFonts w:ascii="Times New Roman" w:hAnsi="Times New Roman" w:cs="Times New Roman"/>
        </w:rPr>
        <w:t xml:space="preserve">po §3 dodaje się §3a </w:t>
      </w:r>
      <w:r w:rsidR="000F1CF6" w:rsidRPr="00B42EDA">
        <w:rPr>
          <w:rFonts w:ascii="Times New Roman" w:hAnsi="Times New Roman" w:cs="Times New Roman"/>
        </w:rPr>
        <w:t xml:space="preserve">i 3b </w:t>
      </w:r>
      <w:r w:rsidRPr="00B42EDA">
        <w:rPr>
          <w:rFonts w:ascii="Times New Roman" w:hAnsi="Times New Roman" w:cs="Times New Roman"/>
        </w:rPr>
        <w:t>w brzmieniu:</w:t>
      </w:r>
    </w:p>
    <w:p w14:paraId="7962D4A3" w14:textId="6DEC9E98" w:rsidR="000F1CF6" w:rsidRPr="00B42EDA" w:rsidRDefault="00790068" w:rsidP="00951BA9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</w:rPr>
      </w:pPr>
      <w:r w:rsidRPr="00B42EDA">
        <w:rPr>
          <w:rFonts w:ascii="Times New Roman" w:hAnsi="Times New Roman" w:cs="Times New Roman"/>
        </w:rPr>
        <w:t>„§3a. </w:t>
      </w:r>
      <w:r w:rsidR="00FE3B9E" w:rsidRPr="00B42EDA">
        <w:rPr>
          <w:rFonts w:ascii="Times New Roman" w:hAnsi="Times New Roman" w:cs="Times New Roman"/>
        </w:rPr>
        <w:t>Niedopuszczalne jest uwzględnienie skargi nadzwyczajnej na niekorzyść oskarżonego wniesionej po upływie roku od dnia uprawomocnienia się orzeczenia, a jeżeli od orzeczenia została wniesiona kasacja albo skarga kasacyjna - po upływie 6 miesięcy od dnia jej rozpoznania.</w:t>
      </w:r>
    </w:p>
    <w:p w14:paraId="7195545B" w14:textId="2459712D" w:rsidR="00EC4C98" w:rsidRPr="00B42EDA" w:rsidRDefault="000F1CF6" w:rsidP="00951BA9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</w:rPr>
      </w:pPr>
      <w:r w:rsidRPr="00B42EDA">
        <w:rPr>
          <w:rFonts w:ascii="Times New Roman" w:hAnsi="Times New Roman" w:cs="Times New Roman"/>
        </w:rPr>
        <w:t>§3b. Skarga nadzwyczajna wniesiona przez stronę powinna być sporządzona przez adwokata lub radcę prawnego, chyba że sporządza j</w:t>
      </w:r>
      <w:r w:rsidR="00FC09AC" w:rsidRPr="00B42EDA">
        <w:rPr>
          <w:rFonts w:ascii="Times New Roman" w:hAnsi="Times New Roman" w:cs="Times New Roman"/>
        </w:rPr>
        <w:t>ą</w:t>
      </w:r>
      <w:r w:rsidRPr="00B42EDA">
        <w:rPr>
          <w:rFonts w:ascii="Times New Roman" w:hAnsi="Times New Roman" w:cs="Times New Roman"/>
        </w:rPr>
        <w:t xml:space="preserve"> sędzia, prokurator, notariusz, radca Prokuratorii Generalnej Rzeczypospolitej Polskiej albo profesor lub doktor habilitowany nauk prawnych, będący stroną, jej przedstawicielem lub pełnomocnikiem.”</w:t>
      </w:r>
      <w:r w:rsidR="00473724" w:rsidRPr="00B42EDA">
        <w:rPr>
          <w:rFonts w:ascii="Times New Roman" w:hAnsi="Times New Roman" w:cs="Times New Roman"/>
        </w:rPr>
        <w:t>;</w:t>
      </w:r>
    </w:p>
    <w:p w14:paraId="5734C2CF" w14:textId="3D8A3A37" w:rsidR="00A237EE" w:rsidRPr="00B42EDA" w:rsidRDefault="00790068" w:rsidP="00951BA9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B42EDA">
        <w:rPr>
          <w:rFonts w:ascii="Times New Roman" w:hAnsi="Times New Roman" w:cs="Times New Roman"/>
        </w:rPr>
        <w:t xml:space="preserve">po art. 90 dodaje się art. 90a </w:t>
      </w:r>
      <w:r w:rsidR="00A577B4" w:rsidRPr="00B42EDA">
        <w:rPr>
          <w:rFonts w:ascii="Times New Roman" w:hAnsi="Times New Roman" w:cs="Times New Roman"/>
        </w:rPr>
        <w:t xml:space="preserve">i 90b </w:t>
      </w:r>
      <w:r w:rsidRPr="00B42EDA">
        <w:rPr>
          <w:rFonts w:ascii="Times New Roman" w:hAnsi="Times New Roman" w:cs="Times New Roman"/>
        </w:rPr>
        <w:t>w brzmieniu:</w:t>
      </w:r>
    </w:p>
    <w:p w14:paraId="66080C58" w14:textId="355722C3" w:rsidR="00A577B4" w:rsidRPr="00B42EDA" w:rsidRDefault="00790068" w:rsidP="00951BA9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B42EDA">
        <w:rPr>
          <w:rFonts w:ascii="Times New Roman" w:hAnsi="Times New Roman" w:cs="Times New Roman"/>
        </w:rPr>
        <w:lastRenderedPageBreak/>
        <w:t>„</w:t>
      </w:r>
      <w:r w:rsidR="00A577B4" w:rsidRPr="00B42EDA">
        <w:rPr>
          <w:rFonts w:ascii="Times New Roman" w:hAnsi="Times New Roman" w:cs="Times New Roman"/>
        </w:rPr>
        <w:t>Art.90a. §1. Skarga nadzwyczajna powinna zawierać:</w:t>
      </w:r>
    </w:p>
    <w:p w14:paraId="5DCE86C6" w14:textId="77777777" w:rsidR="00A577B4" w:rsidRPr="00B42EDA" w:rsidRDefault="00A577B4" w:rsidP="00951BA9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B42EDA">
        <w:rPr>
          <w:rFonts w:ascii="Times New Roman" w:hAnsi="Times New Roman" w:cs="Times New Roman"/>
        </w:rPr>
        <w:t>1) oznaczenie orzeczenia, od którego jest wniesiona, ze wskazaniem, czy jest ono zaskarżone w całości czy w części;</w:t>
      </w:r>
    </w:p>
    <w:p w14:paraId="57154EF7" w14:textId="6631A264" w:rsidR="00A577B4" w:rsidRPr="00B42EDA" w:rsidRDefault="00A577B4" w:rsidP="00951BA9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B42EDA">
        <w:rPr>
          <w:rFonts w:ascii="Times New Roman" w:hAnsi="Times New Roman" w:cs="Times New Roman"/>
        </w:rPr>
        <w:t>2) przytoczenie podstaw skargi oraz ich uzasadnienie;</w:t>
      </w:r>
    </w:p>
    <w:p w14:paraId="67834F4A" w14:textId="77777777" w:rsidR="00A577B4" w:rsidRPr="00B42EDA" w:rsidRDefault="00A577B4" w:rsidP="00951BA9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B42EDA">
        <w:rPr>
          <w:rFonts w:ascii="Times New Roman" w:hAnsi="Times New Roman" w:cs="Times New Roman"/>
        </w:rPr>
        <w:t>3) wniosek o uchylenie lub uchylenie i zmianę orzeczenia z oznaczeniem zakresu żądanego uchylenia i zmiany.</w:t>
      </w:r>
    </w:p>
    <w:p w14:paraId="1A69CF78" w14:textId="165790CF" w:rsidR="00A577B4" w:rsidRPr="00B42EDA" w:rsidRDefault="00A577B4" w:rsidP="00951BA9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B42EDA">
        <w:rPr>
          <w:rFonts w:ascii="Times New Roman" w:hAnsi="Times New Roman" w:cs="Times New Roman"/>
        </w:rPr>
        <w:t>§ 2.  Oprócz wymagań przewidzianych w §1, skarga nadzwyczajna powinna zawierać wniosek o przyjęcie do rozpoznania i jego uzasadnienie.</w:t>
      </w:r>
    </w:p>
    <w:p w14:paraId="159368F1" w14:textId="7910F3E7" w:rsidR="00790068" w:rsidRPr="00B42EDA" w:rsidRDefault="00790068" w:rsidP="00951BA9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B42EDA">
        <w:rPr>
          <w:rFonts w:ascii="Times New Roman" w:hAnsi="Times New Roman" w:cs="Times New Roman"/>
        </w:rPr>
        <w:t>Art. 90</w:t>
      </w:r>
      <w:r w:rsidR="00A577B4" w:rsidRPr="00B42EDA">
        <w:rPr>
          <w:rFonts w:ascii="Times New Roman" w:hAnsi="Times New Roman" w:cs="Times New Roman"/>
        </w:rPr>
        <w:t>b</w:t>
      </w:r>
      <w:r w:rsidRPr="00B42EDA">
        <w:rPr>
          <w:rFonts w:ascii="Times New Roman" w:hAnsi="Times New Roman" w:cs="Times New Roman"/>
        </w:rPr>
        <w:t>. §1. Sąd Najwyższy przyjmuje skargę nadzwyczajną do rozpoznania, jeżeli</w:t>
      </w:r>
      <w:r w:rsidR="00702243" w:rsidRPr="00B42EDA">
        <w:rPr>
          <w:rFonts w:ascii="Times New Roman" w:hAnsi="Times New Roman" w:cs="Times New Roman"/>
        </w:rPr>
        <w:t xml:space="preserve"> jej rozpatrzenie jest konieczne dla zapewnienia zgodności zaskarżonego orzeczenia z zasadą demokratycznego państwa prawnego urzeczywistniającego zasady sprawiedliwości społecznej oraz</w:t>
      </w:r>
      <w:r w:rsidRPr="00B42EDA">
        <w:rPr>
          <w:rFonts w:ascii="Times New Roman" w:hAnsi="Times New Roman" w:cs="Times New Roman"/>
        </w:rPr>
        <w:t>:</w:t>
      </w:r>
    </w:p>
    <w:p w14:paraId="038CE603" w14:textId="7C3DE9FD" w:rsidR="00790068" w:rsidRPr="00B42EDA" w:rsidRDefault="00790068" w:rsidP="00951BA9">
      <w:pPr>
        <w:spacing w:line="360" w:lineRule="auto"/>
        <w:ind w:left="360"/>
        <w:rPr>
          <w:rFonts w:ascii="Times New Roman" w:hAnsi="Times New Roman" w:cs="Times New Roman"/>
        </w:rPr>
      </w:pPr>
      <w:r w:rsidRPr="00B42EDA">
        <w:rPr>
          <w:rFonts w:ascii="Times New Roman" w:hAnsi="Times New Roman" w:cs="Times New Roman"/>
        </w:rPr>
        <w:t xml:space="preserve">1) skarga jest oczywiście uzasadniona; </w:t>
      </w:r>
    </w:p>
    <w:p w14:paraId="4F60B816" w14:textId="7A77D873" w:rsidR="00790068" w:rsidRPr="00B42EDA" w:rsidRDefault="00790068" w:rsidP="00951BA9">
      <w:pPr>
        <w:spacing w:line="360" w:lineRule="auto"/>
        <w:ind w:left="360"/>
        <w:rPr>
          <w:rFonts w:ascii="Times New Roman" w:hAnsi="Times New Roman" w:cs="Times New Roman"/>
        </w:rPr>
      </w:pPr>
      <w:r w:rsidRPr="00B42EDA">
        <w:rPr>
          <w:rFonts w:ascii="Times New Roman" w:hAnsi="Times New Roman" w:cs="Times New Roman"/>
        </w:rPr>
        <w:t xml:space="preserve">2) zaskarżone orzeczenie jest oczywiście niesłuszne; </w:t>
      </w:r>
    </w:p>
    <w:p w14:paraId="5A2DD095" w14:textId="3DCB0722" w:rsidR="00790068" w:rsidRPr="00B42EDA" w:rsidRDefault="00790068" w:rsidP="00951BA9">
      <w:pPr>
        <w:spacing w:line="360" w:lineRule="auto"/>
        <w:ind w:left="360"/>
        <w:rPr>
          <w:rFonts w:ascii="Times New Roman" w:hAnsi="Times New Roman" w:cs="Times New Roman"/>
        </w:rPr>
      </w:pPr>
      <w:r w:rsidRPr="00B42EDA">
        <w:rPr>
          <w:rFonts w:ascii="Times New Roman" w:hAnsi="Times New Roman" w:cs="Times New Roman"/>
        </w:rPr>
        <w:t>3) w sprawie występuje istotne zagadnienie prawne;</w:t>
      </w:r>
    </w:p>
    <w:p w14:paraId="01159A6C" w14:textId="3C15B29A" w:rsidR="00790068" w:rsidRPr="00B42EDA" w:rsidRDefault="00790068" w:rsidP="00951BA9">
      <w:pPr>
        <w:spacing w:line="360" w:lineRule="auto"/>
        <w:ind w:left="360"/>
        <w:rPr>
          <w:rFonts w:ascii="Times New Roman" w:hAnsi="Times New Roman" w:cs="Times New Roman"/>
        </w:rPr>
      </w:pPr>
      <w:r w:rsidRPr="00B42EDA">
        <w:rPr>
          <w:rFonts w:ascii="Times New Roman" w:hAnsi="Times New Roman" w:cs="Times New Roman"/>
        </w:rPr>
        <w:t xml:space="preserve">4) zachodzi nieważność postępowania. </w:t>
      </w:r>
    </w:p>
    <w:p w14:paraId="4245B7FB" w14:textId="3CF74DF1" w:rsidR="00790068" w:rsidRPr="00B42EDA" w:rsidRDefault="00790068" w:rsidP="00951BA9">
      <w:pPr>
        <w:spacing w:line="360" w:lineRule="auto"/>
        <w:ind w:left="360"/>
        <w:rPr>
          <w:rFonts w:ascii="Times New Roman" w:hAnsi="Times New Roman" w:cs="Times New Roman"/>
        </w:rPr>
      </w:pPr>
      <w:r w:rsidRPr="00B42EDA">
        <w:rPr>
          <w:rFonts w:ascii="Times New Roman" w:hAnsi="Times New Roman" w:cs="Times New Roman"/>
        </w:rPr>
        <w:t xml:space="preserve">§2.  O przyjęciu lub odmowie przyjęcia skargi nadzwyczajnej do rozpoznania Sąd Najwyższy orzeka na posiedzeniu niejawnym. Postanowienie o odmowie przyjęcia skargi nadzwyczajnej do rozpoznania wymaga uzasadnienia.” </w:t>
      </w:r>
      <w:r w:rsidR="00473724" w:rsidRPr="00B42EDA">
        <w:rPr>
          <w:rFonts w:ascii="Times New Roman" w:hAnsi="Times New Roman" w:cs="Times New Roman"/>
        </w:rPr>
        <w:t>;</w:t>
      </w:r>
    </w:p>
    <w:p w14:paraId="597F935B" w14:textId="48F3AEB7" w:rsidR="000F1CF6" w:rsidRPr="00B42EDA" w:rsidRDefault="00702243" w:rsidP="00951BA9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B42EDA">
        <w:rPr>
          <w:rFonts w:ascii="Times New Roman" w:hAnsi="Times New Roman" w:cs="Times New Roman"/>
        </w:rPr>
        <w:t>art. 9</w:t>
      </w:r>
      <w:r w:rsidR="00EC4C98" w:rsidRPr="00B42EDA">
        <w:rPr>
          <w:rFonts w:ascii="Times New Roman" w:hAnsi="Times New Roman" w:cs="Times New Roman"/>
        </w:rPr>
        <w:t>4</w:t>
      </w:r>
      <w:r w:rsidRPr="00B42EDA">
        <w:rPr>
          <w:rFonts w:ascii="Times New Roman" w:hAnsi="Times New Roman" w:cs="Times New Roman"/>
        </w:rPr>
        <w:t xml:space="preserve"> otrzymuje brzmienie:</w:t>
      </w:r>
    </w:p>
    <w:p w14:paraId="76B6C720" w14:textId="1F52CF3D" w:rsidR="00EC4C98" w:rsidRPr="00B42EDA" w:rsidRDefault="00EC4C98" w:rsidP="00951BA9">
      <w:pPr>
        <w:pStyle w:val="Akapitzlist"/>
        <w:spacing w:line="360" w:lineRule="auto"/>
        <w:rPr>
          <w:rFonts w:ascii="Times New Roman" w:hAnsi="Times New Roman" w:cs="Times New Roman"/>
        </w:rPr>
      </w:pPr>
      <w:r w:rsidRPr="00B42EDA">
        <w:rPr>
          <w:rFonts w:ascii="Times New Roman" w:hAnsi="Times New Roman" w:cs="Times New Roman"/>
        </w:rPr>
        <w:t xml:space="preserve">„§1. O przyjęciu skargi nadzwyczajnej do rozpoznania orzeka Sąd Najwyższy w składzie 1 sędziego Sądu Najwyższego orzekającego w Izbie Kontroli Nadzwyczajnej i Spraw Publicznych. </w:t>
      </w:r>
    </w:p>
    <w:p w14:paraId="64DC1654" w14:textId="0625CC78" w:rsidR="00EC4C98" w:rsidRPr="00B42EDA" w:rsidRDefault="00EC4C98" w:rsidP="00951BA9">
      <w:pPr>
        <w:pStyle w:val="Akapitzlist"/>
        <w:spacing w:line="360" w:lineRule="auto"/>
        <w:rPr>
          <w:rFonts w:ascii="Times New Roman" w:hAnsi="Times New Roman" w:cs="Times New Roman"/>
        </w:rPr>
      </w:pPr>
      <w:r w:rsidRPr="00B42EDA">
        <w:rPr>
          <w:rFonts w:ascii="Times New Roman" w:hAnsi="Times New Roman" w:cs="Times New Roman"/>
        </w:rPr>
        <w:t>§2. Skargę nadzwyczajną rozpoznaje Sąd Najwyższy w składzie 2 sędziów Sądu Najwyższego orzekających w Izbie Kontroli Nadzwyczajnej i Spraw Publicznych oraz 1 ławnika Sądu Najwyższego.</w:t>
      </w:r>
    </w:p>
    <w:p w14:paraId="6A51880E" w14:textId="636A2CF1" w:rsidR="00EC4C98" w:rsidRPr="00B42EDA" w:rsidRDefault="00EC4C98" w:rsidP="00951BA9">
      <w:pPr>
        <w:pStyle w:val="Akapitzlist"/>
        <w:spacing w:line="360" w:lineRule="auto"/>
        <w:rPr>
          <w:rFonts w:ascii="Times New Roman" w:hAnsi="Times New Roman" w:cs="Times New Roman"/>
        </w:rPr>
      </w:pPr>
      <w:r w:rsidRPr="00B42EDA">
        <w:rPr>
          <w:rFonts w:ascii="Times New Roman" w:hAnsi="Times New Roman" w:cs="Times New Roman"/>
        </w:rPr>
        <w:t>§3.  Jeżeli skarga nadzwyczajna dotyczy orzeczenia zapadłego w wyniku postępowania, w którego toku orzeczenie wydał Sąd Najwyższy, sprawę rozpoznaje Sąd Najwyższy w składzie 5 sędziów Sądu Najwyższego orzekających w Izbie Kontroli Nadzwyczajnej i Spraw Publicznych oraz 2 ławników Sądu Najwyższego.</w:t>
      </w:r>
    </w:p>
    <w:p w14:paraId="54DD5E5F" w14:textId="61F3731B" w:rsidR="00EC4C98" w:rsidRPr="00B42EDA" w:rsidRDefault="00EC4C98" w:rsidP="00951BA9">
      <w:pPr>
        <w:pStyle w:val="Akapitzlist"/>
        <w:spacing w:line="360" w:lineRule="auto"/>
        <w:rPr>
          <w:rFonts w:ascii="Times New Roman" w:hAnsi="Times New Roman" w:cs="Times New Roman"/>
        </w:rPr>
      </w:pPr>
      <w:r w:rsidRPr="00B42EDA">
        <w:rPr>
          <w:rFonts w:ascii="Times New Roman" w:hAnsi="Times New Roman" w:cs="Times New Roman"/>
        </w:rPr>
        <w:t>§4.  Jeżeli skład Sądu Najwyższego wskazany w § 1 lub 2 zamierza odstąpić od zasady prawnej uchwalonej przez izbę Sądu Najwyższego, przedstawia powstałe zagadnienie prawne do rozstrzygnięcia składowi:</w:t>
      </w:r>
    </w:p>
    <w:p w14:paraId="4B7A41D2" w14:textId="77777777" w:rsidR="00EC4C98" w:rsidRPr="00B42EDA" w:rsidRDefault="00EC4C98" w:rsidP="00951BA9">
      <w:pPr>
        <w:pStyle w:val="Akapitzlist"/>
        <w:spacing w:line="360" w:lineRule="auto"/>
        <w:rPr>
          <w:rFonts w:ascii="Times New Roman" w:hAnsi="Times New Roman" w:cs="Times New Roman"/>
        </w:rPr>
      </w:pPr>
      <w:r w:rsidRPr="00B42EDA">
        <w:rPr>
          <w:rFonts w:ascii="Times New Roman" w:hAnsi="Times New Roman" w:cs="Times New Roman"/>
        </w:rPr>
        <w:lastRenderedPageBreak/>
        <w:t>1) całej Izby Kontroli Nadzwyczajnej i Spraw Publicznych - jeżeli zamierza odstąpić od zasady prawnej uchwalonej przez skład Izby Kontroli Nadzwyczajnej i Spraw Publicznych; rozstrzygnięcie następuje w drodze uchwały składu całej izby;</w:t>
      </w:r>
    </w:p>
    <w:p w14:paraId="2C3BF0EE" w14:textId="77777777" w:rsidR="00EC4C98" w:rsidRPr="00B42EDA" w:rsidRDefault="00EC4C98" w:rsidP="00951BA9">
      <w:pPr>
        <w:pStyle w:val="Akapitzlist"/>
        <w:spacing w:line="360" w:lineRule="auto"/>
        <w:rPr>
          <w:rFonts w:ascii="Times New Roman" w:hAnsi="Times New Roman" w:cs="Times New Roman"/>
        </w:rPr>
      </w:pPr>
      <w:r w:rsidRPr="00B42EDA">
        <w:rPr>
          <w:rFonts w:ascii="Times New Roman" w:hAnsi="Times New Roman" w:cs="Times New Roman"/>
        </w:rPr>
        <w:t>2) Izby Kontroli Nadzwyczajnej i Spraw Publicznych oraz izby, która uchwaliła zasadę prawną - jeżeli zamierza odstąpić od zasady prawnej uchwalonej przez skład izby innej niż Izba Kontroli Nadzwyczajnej i Spraw Publicznych; rozstrzygnięcie następuje w drodze uchwały całych składów obu izb.</w:t>
      </w:r>
    </w:p>
    <w:p w14:paraId="07C1B3DF" w14:textId="2D19DF10" w:rsidR="000F1CF6" w:rsidRPr="00B42EDA" w:rsidRDefault="00EC4C98" w:rsidP="00951BA9">
      <w:pPr>
        <w:pStyle w:val="Akapitzlist"/>
        <w:spacing w:line="360" w:lineRule="auto"/>
        <w:rPr>
          <w:rFonts w:ascii="Times New Roman" w:hAnsi="Times New Roman" w:cs="Times New Roman"/>
        </w:rPr>
      </w:pPr>
      <w:r w:rsidRPr="00B42EDA">
        <w:rPr>
          <w:rFonts w:ascii="Times New Roman" w:hAnsi="Times New Roman" w:cs="Times New Roman"/>
        </w:rPr>
        <w:t>§5.  W przypadku wskazanym w §4 pkt 2 przepis art. 88 §3 zdanie drugie stosuje się odpowiednio.”</w:t>
      </w:r>
      <w:r w:rsidR="00473724" w:rsidRPr="00B42EDA">
        <w:rPr>
          <w:rFonts w:ascii="Times New Roman" w:hAnsi="Times New Roman" w:cs="Times New Roman"/>
        </w:rPr>
        <w:t>;</w:t>
      </w:r>
    </w:p>
    <w:p w14:paraId="3239E747" w14:textId="77777777" w:rsidR="00A577B4" w:rsidRPr="00B42EDA" w:rsidRDefault="003944F5" w:rsidP="00951BA9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B42EDA">
        <w:rPr>
          <w:rFonts w:ascii="Times New Roman" w:hAnsi="Times New Roman" w:cs="Times New Roman"/>
        </w:rPr>
        <w:t xml:space="preserve">w art. 95 </w:t>
      </w:r>
      <w:r w:rsidR="00A577B4" w:rsidRPr="00B42EDA">
        <w:rPr>
          <w:rFonts w:ascii="Times New Roman" w:hAnsi="Times New Roman" w:cs="Times New Roman"/>
        </w:rPr>
        <w:t>pkt 1 otrzymuje brzmienie:</w:t>
      </w:r>
    </w:p>
    <w:p w14:paraId="77C817CA" w14:textId="02958F63" w:rsidR="00EC4C98" w:rsidRPr="00B42EDA" w:rsidRDefault="00A577B4" w:rsidP="00951BA9">
      <w:pPr>
        <w:pStyle w:val="Akapitzlist"/>
        <w:spacing w:line="360" w:lineRule="auto"/>
        <w:rPr>
          <w:rFonts w:ascii="Times New Roman" w:hAnsi="Times New Roman" w:cs="Times New Roman"/>
        </w:rPr>
      </w:pPr>
      <w:r w:rsidRPr="00B42EDA">
        <w:rPr>
          <w:rFonts w:ascii="Times New Roman" w:hAnsi="Times New Roman" w:cs="Times New Roman"/>
        </w:rPr>
        <w:t>„1) cywilnych - przepisy ustawy z dnia 17 listopada 1964 r. - Kodeks postępowania cywilnego dotyczące skargi kasacyjnej, z wyłączeniem art. 398</w:t>
      </w:r>
      <w:r w:rsidRPr="00B42EDA">
        <w:rPr>
          <w:rFonts w:ascii="Times New Roman" w:hAnsi="Times New Roman" w:cs="Times New Roman"/>
          <w:vertAlign w:val="superscript"/>
        </w:rPr>
        <w:t>9</w:t>
      </w:r>
      <w:r w:rsidRPr="00B42EDA">
        <w:rPr>
          <w:rFonts w:ascii="Times New Roman" w:hAnsi="Times New Roman" w:cs="Times New Roman"/>
        </w:rPr>
        <w:t>;”;</w:t>
      </w:r>
    </w:p>
    <w:p w14:paraId="19E8EA8C" w14:textId="77777777" w:rsidR="00473724" w:rsidRPr="00B42EDA" w:rsidRDefault="00F4230C" w:rsidP="00951BA9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B42EDA">
        <w:rPr>
          <w:rFonts w:ascii="Times New Roman" w:hAnsi="Times New Roman" w:cs="Times New Roman"/>
        </w:rPr>
        <w:t>w art. 115</w:t>
      </w:r>
      <w:r w:rsidR="00473724" w:rsidRPr="00B42EDA">
        <w:rPr>
          <w:rFonts w:ascii="Times New Roman" w:hAnsi="Times New Roman" w:cs="Times New Roman"/>
        </w:rPr>
        <w:t>:</w:t>
      </w:r>
    </w:p>
    <w:p w14:paraId="531A78A7" w14:textId="25DBDAC5" w:rsidR="00EC4C98" w:rsidRPr="00B42EDA" w:rsidRDefault="00F4230C" w:rsidP="00951BA9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B42EDA">
        <w:rPr>
          <w:rFonts w:ascii="Times New Roman" w:hAnsi="Times New Roman" w:cs="Times New Roman"/>
        </w:rPr>
        <w:t xml:space="preserve"> §1 otrzymuje brzmienie</w:t>
      </w:r>
      <w:r w:rsidR="00473724" w:rsidRPr="00B42EDA">
        <w:rPr>
          <w:rFonts w:ascii="Times New Roman" w:hAnsi="Times New Roman" w:cs="Times New Roman"/>
        </w:rPr>
        <w:t>:</w:t>
      </w:r>
    </w:p>
    <w:p w14:paraId="06907A3D" w14:textId="20371FEE" w:rsidR="00473724" w:rsidRPr="00B42EDA" w:rsidRDefault="00473724" w:rsidP="001E28B7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B42EDA">
        <w:rPr>
          <w:rFonts w:ascii="Times New Roman" w:hAnsi="Times New Roman" w:cs="Times New Roman"/>
        </w:rPr>
        <w:t xml:space="preserve">„§1. W okresie do 3 kwietnia 2023 roku Prokurator Generalny lub Rzecznik Praw Obywatelskich może wnieść skargę nadzwyczajną od prawomocnych orzeczeń kończących postępowanie w sprawach, które </w:t>
      </w:r>
      <w:r w:rsidR="001E28B7" w:rsidRPr="00B42EDA">
        <w:rPr>
          <w:rFonts w:ascii="Times New Roman" w:hAnsi="Times New Roman" w:cs="Times New Roman"/>
        </w:rPr>
        <w:t xml:space="preserve">zostały wydane i </w:t>
      </w:r>
      <w:r w:rsidRPr="00B42EDA">
        <w:rPr>
          <w:rFonts w:ascii="Times New Roman" w:hAnsi="Times New Roman" w:cs="Times New Roman"/>
        </w:rPr>
        <w:t>uprawomocniły się po dniu 17 października 1997 r. Przepisu art. 89 § 3 pkt 2 nie stosuje się.”</w:t>
      </w:r>
    </w:p>
    <w:p w14:paraId="6C48E4F4" w14:textId="548F35B0" w:rsidR="00EC4C98" w:rsidRPr="00B42EDA" w:rsidRDefault="00473724" w:rsidP="00951BA9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B42EDA">
        <w:rPr>
          <w:rFonts w:ascii="Times New Roman" w:hAnsi="Times New Roman" w:cs="Times New Roman"/>
        </w:rPr>
        <w:t>uchyla się  §1a.</w:t>
      </w:r>
    </w:p>
    <w:p w14:paraId="0CF0A44A" w14:textId="4BC563EA" w:rsidR="00A237EE" w:rsidRPr="00B42EDA" w:rsidRDefault="00A237EE" w:rsidP="00951BA9">
      <w:pPr>
        <w:spacing w:line="360" w:lineRule="auto"/>
        <w:ind w:firstLine="708"/>
        <w:rPr>
          <w:rFonts w:ascii="Times New Roman" w:hAnsi="Times New Roman" w:cs="Times New Roman"/>
          <w:b/>
          <w:bCs/>
        </w:rPr>
      </w:pPr>
      <w:r w:rsidRPr="00B42EDA">
        <w:rPr>
          <w:rFonts w:ascii="Times New Roman" w:hAnsi="Times New Roman" w:cs="Times New Roman"/>
          <w:b/>
          <w:bCs/>
        </w:rPr>
        <w:t xml:space="preserve">Art.  2. </w:t>
      </w:r>
      <w:r w:rsidR="00A577B4" w:rsidRPr="00B42EDA">
        <w:rPr>
          <w:rFonts w:ascii="Times New Roman" w:hAnsi="Times New Roman" w:cs="Times New Roman"/>
          <w:b/>
          <w:bCs/>
        </w:rPr>
        <w:t xml:space="preserve"> </w:t>
      </w:r>
      <w:r w:rsidRPr="00B42EDA">
        <w:rPr>
          <w:rFonts w:ascii="Times New Roman" w:hAnsi="Times New Roman" w:cs="Times New Roman"/>
        </w:rPr>
        <w:t xml:space="preserve">Ustawa wchodzi w życie po upływie </w:t>
      </w:r>
      <w:r w:rsidR="009C224F" w:rsidRPr="00B42EDA">
        <w:rPr>
          <w:rFonts w:ascii="Times New Roman" w:hAnsi="Times New Roman" w:cs="Times New Roman"/>
        </w:rPr>
        <w:t>14</w:t>
      </w:r>
      <w:r w:rsidRPr="00B42EDA">
        <w:rPr>
          <w:rFonts w:ascii="Times New Roman" w:hAnsi="Times New Roman" w:cs="Times New Roman"/>
        </w:rPr>
        <w:t xml:space="preserve"> dni od dnia ogłoszenia.</w:t>
      </w:r>
    </w:p>
    <w:p w14:paraId="614200BF" w14:textId="79A05A0E" w:rsidR="00A237EE" w:rsidRPr="00B42EDA" w:rsidRDefault="00A237EE" w:rsidP="00951BA9">
      <w:pPr>
        <w:spacing w:line="360" w:lineRule="auto"/>
        <w:rPr>
          <w:rFonts w:ascii="Times New Roman" w:hAnsi="Times New Roman" w:cs="Times New Roman"/>
        </w:rPr>
      </w:pPr>
    </w:p>
    <w:p w14:paraId="17ABB45D" w14:textId="31330F34" w:rsidR="006B5472" w:rsidRPr="00B42EDA" w:rsidRDefault="006B5472" w:rsidP="00951BA9">
      <w:pPr>
        <w:spacing w:line="360" w:lineRule="auto"/>
        <w:rPr>
          <w:rFonts w:ascii="Times New Roman" w:hAnsi="Times New Roman" w:cs="Times New Roman"/>
        </w:rPr>
      </w:pPr>
    </w:p>
    <w:p w14:paraId="0EDB194E" w14:textId="06668FE5" w:rsidR="006B5472" w:rsidRPr="00B42EDA" w:rsidRDefault="006B5472" w:rsidP="00951BA9">
      <w:pPr>
        <w:spacing w:line="360" w:lineRule="auto"/>
        <w:rPr>
          <w:rFonts w:ascii="Times New Roman" w:hAnsi="Times New Roman" w:cs="Times New Roman"/>
        </w:rPr>
      </w:pPr>
    </w:p>
    <w:p w14:paraId="27AAED67" w14:textId="63625E82" w:rsidR="006B5472" w:rsidRPr="00B42EDA" w:rsidRDefault="006B5472" w:rsidP="00951BA9">
      <w:pPr>
        <w:spacing w:line="360" w:lineRule="auto"/>
        <w:rPr>
          <w:rFonts w:ascii="Times New Roman" w:hAnsi="Times New Roman" w:cs="Times New Roman"/>
        </w:rPr>
      </w:pPr>
    </w:p>
    <w:p w14:paraId="4FD0961D" w14:textId="101BBE2A" w:rsidR="006B5472" w:rsidRPr="00B42EDA" w:rsidRDefault="006B5472" w:rsidP="00951BA9">
      <w:pPr>
        <w:spacing w:line="360" w:lineRule="auto"/>
        <w:rPr>
          <w:rFonts w:ascii="Times New Roman" w:hAnsi="Times New Roman" w:cs="Times New Roman"/>
        </w:rPr>
      </w:pPr>
    </w:p>
    <w:p w14:paraId="135B0CC1" w14:textId="27050422" w:rsidR="006B5472" w:rsidRPr="00B42EDA" w:rsidRDefault="006B5472" w:rsidP="00951BA9">
      <w:pPr>
        <w:spacing w:line="360" w:lineRule="auto"/>
        <w:rPr>
          <w:rFonts w:ascii="Times New Roman" w:hAnsi="Times New Roman" w:cs="Times New Roman"/>
        </w:rPr>
      </w:pPr>
    </w:p>
    <w:p w14:paraId="067C52CA" w14:textId="6A80B8F7" w:rsidR="006B5472" w:rsidRPr="00B42EDA" w:rsidRDefault="006B5472" w:rsidP="00951BA9">
      <w:pPr>
        <w:spacing w:line="360" w:lineRule="auto"/>
        <w:rPr>
          <w:rFonts w:ascii="Times New Roman" w:hAnsi="Times New Roman" w:cs="Times New Roman"/>
        </w:rPr>
      </w:pPr>
    </w:p>
    <w:p w14:paraId="6744D4AA" w14:textId="569F5E0A" w:rsidR="006B5472" w:rsidRPr="00B42EDA" w:rsidRDefault="006B5472" w:rsidP="00951BA9">
      <w:pPr>
        <w:spacing w:line="360" w:lineRule="auto"/>
        <w:rPr>
          <w:rFonts w:ascii="Times New Roman" w:hAnsi="Times New Roman" w:cs="Times New Roman"/>
        </w:rPr>
      </w:pPr>
    </w:p>
    <w:p w14:paraId="3AE78F22" w14:textId="606ADB99" w:rsidR="006B5472" w:rsidRPr="00B42EDA" w:rsidRDefault="006B5472" w:rsidP="00951BA9">
      <w:pPr>
        <w:spacing w:line="360" w:lineRule="auto"/>
        <w:rPr>
          <w:rFonts w:ascii="Times New Roman" w:hAnsi="Times New Roman" w:cs="Times New Roman"/>
        </w:rPr>
      </w:pPr>
    </w:p>
    <w:p w14:paraId="7E776B06" w14:textId="4651BB57" w:rsidR="006B5472" w:rsidRPr="00B42EDA" w:rsidRDefault="006B5472" w:rsidP="00951BA9">
      <w:pPr>
        <w:spacing w:line="360" w:lineRule="auto"/>
        <w:rPr>
          <w:rFonts w:ascii="Times New Roman" w:hAnsi="Times New Roman" w:cs="Times New Roman"/>
        </w:rPr>
      </w:pPr>
    </w:p>
    <w:p w14:paraId="488CE3AE" w14:textId="77777777" w:rsidR="006B5472" w:rsidRPr="00B42EDA" w:rsidRDefault="006B5472" w:rsidP="00951BA9">
      <w:pPr>
        <w:spacing w:line="360" w:lineRule="auto"/>
        <w:rPr>
          <w:rFonts w:ascii="Times New Roman" w:hAnsi="Times New Roman" w:cs="Times New Roman"/>
        </w:rPr>
      </w:pPr>
    </w:p>
    <w:p w14:paraId="22CBA5B2" w14:textId="6325821A" w:rsidR="006B5472" w:rsidRPr="00B42EDA" w:rsidRDefault="00191F06" w:rsidP="006B5472">
      <w:pPr>
        <w:spacing w:line="360" w:lineRule="auto"/>
        <w:jc w:val="center"/>
        <w:rPr>
          <w:rFonts w:ascii="Times New Roman" w:hAnsi="Times New Roman" w:cs="Times New Roman"/>
        </w:rPr>
      </w:pPr>
      <w:r w:rsidRPr="00B42EDA">
        <w:rPr>
          <w:rFonts w:ascii="Times New Roman" w:hAnsi="Times New Roman" w:cs="Times New Roman"/>
        </w:rPr>
        <w:lastRenderedPageBreak/>
        <w:t>UZASADNIENIE</w:t>
      </w:r>
    </w:p>
    <w:p w14:paraId="4D121CEE" w14:textId="2FE10080" w:rsidR="005C4DE6" w:rsidRPr="00B42EDA" w:rsidRDefault="005C4DE6" w:rsidP="005C4DE6">
      <w:pPr>
        <w:spacing w:line="360" w:lineRule="auto"/>
        <w:ind w:firstLine="708"/>
        <w:rPr>
          <w:rFonts w:ascii="Times New Roman" w:hAnsi="Times New Roman" w:cs="Times New Roman"/>
          <w:b/>
          <w:bCs/>
        </w:rPr>
      </w:pPr>
      <w:r w:rsidRPr="00B42EDA">
        <w:rPr>
          <w:rFonts w:ascii="Times New Roman" w:hAnsi="Times New Roman" w:cs="Times New Roman"/>
          <w:b/>
          <w:bCs/>
        </w:rPr>
        <w:t>Cel regulacji</w:t>
      </w:r>
    </w:p>
    <w:p w14:paraId="040A4564" w14:textId="50229771" w:rsidR="005B0E4F" w:rsidRPr="00B42EDA" w:rsidRDefault="005B0E4F" w:rsidP="006B547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42EDA">
        <w:rPr>
          <w:rFonts w:ascii="Times New Roman" w:hAnsi="Times New Roman" w:cs="Times New Roman"/>
        </w:rPr>
        <w:t>Skarga nadzwyczajna, wprowadzona ustawą z 8 grudnia 2017 r. o Sądzie Najwyższym, przyjęt</w:t>
      </w:r>
      <w:r w:rsidR="00B42EDA" w:rsidRPr="00B42EDA">
        <w:rPr>
          <w:rFonts w:ascii="Times New Roman" w:hAnsi="Times New Roman" w:cs="Times New Roman"/>
        </w:rPr>
        <w:t>ą</w:t>
      </w:r>
      <w:r w:rsidRPr="00B42EDA">
        <w:rPr>
          <w:rFonts w:ascii="Times New Roman" w:hAnsi="Times New Roman" w:cs="Times New Roman"/>
        </w:rPr>
        <w:t xml:space="preserve"> z inicjatywy Prezydenta Rzeczypospolitej, miała być „ostatnią deską ratunku dla podsądnych, którzy czują się skrzywdzeni niesprawiedliwymi wyrokami” (P. Zaremba, </w:t>
      </w:r>
      <w:r w:rsidRPr="00B42EDA">
        <w:rPr>
          <w:rFonts w:ascii="Times New Roman" w:hAnsi="Times New Roman" w:cs="Times New Roman"/>
          <w:i/>
        </w:rPr>
        <w:t>Prezydent Andrzej Duda dla DGP: Dla mnie weryfikacja SN przez prokuratora generalnego jest nie do przyjęcia,</w:t>
      </w:r>
      <w:r w:rsidRPr="00B42EDA">
        <w:rPr>
          <w:rFonts w:ascii="Times New Roman" w:hAnsi="Times New Roman" w:cs="Times New Roman"/>
        </w:rPr>
        <w:t xml:space="preserve"> w: „Dziennik Gazeta Prawna” z 27 września 2017 r.). Przez trzy lata obowiązywania ustawy o Sądzie Najwyższym kilkanaście tysięcy obywateli złożyło podania do Prokuratora Generalnego, Rzecznika Praw Obywatelskich i innych uprawnionych organów państwa o wniesienie skargi nadzwyczajnej w ich sprawie – tymczasem do SN wpłynęło w sumie ok. 100 skarg nadzwyczajnych.  </w:t>
      </w:r>
    </w:p>
    <w:p w14:paraId="3C0A1949" w14:textId="31F611ED" w:rsidR="004529B3" w:rsidRPr="00B42EDA" w:rsidRDefault="004529B3" w:rsidP="006B547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42EDA">
        <w:rPr>
          <w:rFonts w:ascii="Times New Roman" w:hAnsi="Times New Roman" w:cs="Times New Roman"/>
        </w:rPr>
        <w:t>Celem proponowanych zmian</w:t>
      </w:r>
      <w:r w:rsidR="006B5472" w:rsidRPr="00B42EDA">
        <w:rPr>
          <w:rFonts w:ascii="Times New Roman" w:hAnsi="Times New Roman" w:cs="Times New Roman"/>
        </w:rPr>
        <w:t xml:space="preserve"> w ustawie z 8 grudnia 2017 roku o Sądzie Najwyższym</w:t>
      </w:r>
      <w:r w:rsidRPr="00B42EDA">
        <w:rPr>
          <w:rFonts w:ascii="Times New Roman" w:hAnsi="Times New Roman" w:cs="Times New Roman"/>
        </w:rPr>
        <w:t xml:space="preserve"> jest uspołecznienie instytucji skargi nadzwyczajnej przez w</w:t>
      </w:r>
      <w:r w:rsidR="008931C6" w:rsidRPr="00B42EDA">
        <w:rPr>
          <w:rFonts w:ascii="Times New Roman" w:hAnsi="Times New Roman" w:cs="Times New Roman"/>
        </w:rPr>
        <w:t>prowadzenie możliwości osobistego składania skargi nadzwyczajnej przez strony postępowania</w:t>
      </w:r>
      <w:r w:rsidR="00422157" w:rsidRPr="00B42EDA">
        <w:rPr>
          <w:rFonts w:ascii="Times New Roman" w:hAnsi="Times New Roman" w:cs="Times New Roman"/>
        </w:rPr>
        <w:t xml:space="preserve"> (z wyłączeniem prokuratorów – możliwość wnoszenia skargi nadzwyczajnej na niekorzyść oskarżonego powinna być ograniczona do Prokuratora Generalnego)</w:t>
      </w:r>
      <w:r w:rsidRPr="00B42EDA">
        <w:rPr>
          <w:rFonts w:ascii="Times New Roman" w:hAnsi="Times New Roman" w:cs="Times New Roman"/>
        </w:rPr>
        <w:t xml:space="preserve">. Aby uniknąć jednak przeciążenia Izby Kontroli Nadzwyczajnej i Spraw Publicznych Sądu Najwyższego nadmierną liczbą skarg, należy wprowadzić równocześnie dodatkowe </w:t>
      </w:r>
      <w:r w:rsidR="00F85C47" w:rsidRPr="00B42EDA">
        <w:rPr>
          <w:rFonts w:ascii="Times New Roman" w:hAnsi="Times New Roman" w:cs="Times New Roman"/>
        </w:rPr>
        <w:t>wymogi</w:t>
      </w:r>
      <w:r w:rsidRPr="00B42EDA">
        <w:rPr>
          <w:rFonts w:ascii="Times New Roman" w:hAnsi="Times New Roman" w:cs="Times New Roman"/>
        </w:rPr>
        <w:t xml:space="preserve"> formalne wniesienia skargi oraz uzupełnić procedurę rozpoznawania skarg o mechanizm preselekcji. </w:t>
      </w:r>
    </w:p>
    <w:p w14:paraId="0EB03422" w14:textId="429E340D" w:rsidR="006C4924" w:rsidRPr="00B42EDA" w:rsidRDefault="004529B3" w:rsidP="005C4DE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42EDA">
        <w:rPr>
          <w:rFonts w:ascii="Times New Roman" w:hAnsi="Times New Roman" w:cs="Times New Roman"/>
        </w:rPr>
        <w:t xml:space="preserve">Organy władzy publicznej, które obecnie ustawa upoważnia do wnoszenia skarg nadzwyczajnych, powinny zachować możliwość ich wnoszenia. </w:t>
      </w:r>
    </w:p>
    <w:p w14:paraId="4A3FA7CB" w14:textId="536D8F54" w:rsidR="005C4DE6" w:rsidRPr="00B42EDA" w:rsidRDefault="005C4DE6" w:rsidP="005C4DE6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B42EDA">
        <w:rPr>
          <w:rFonts w:ascii="Times New Roman" w:hAnsi="Times New Roman" w:cs="Times New Roman"/>
          <w:b/>
          <w:bCs/>
        </w:rPr>
        <w:t xml:space="preserve">Termin na wniesienie skargi </w:t>
      </w:r>
    </w:p>
    <w:p w14:paraId="53B8688B" w14:textId="519B23BB" w:rsidR="00C62382" w:rsidRPr="00B42EDA" w:rsidRDefault="00C62382" w:rsidP="005C4DE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42EDA">
        <w:rPr>
          <w:rFonts w:ascii="Times New Roman" w:hAnsi="Times New Roman" w:cs="Times New Roman"/>
        </w:rPr>
        <w:t xml:space="preserve">Termin na wniesienie skargi powinien być krótszy dla stron postępowania, a dłuższy dla organów władzy publicznej, aby uniknąć pochopnego kwestionowania prawomocnych orzeczeń sądowych sprzed wielu lat. Podobne rozwiązanie funkcjonuje w przepisach o skardze kasacyjnej. Strony powinny mieć możliwość wniesienie skargi nadzwyczajnej w terminie </w:t>
      </w:r>
      <w:r w:rsidR="000D074A" w:rsidRPr="00B42EDA">
        <w:rPr>
          <w:rFonts w:ascii="Times New Roman" w:hAnsi="Times New Roman" w:cs="Times New Roman"/>
          <w:b/>
          <w:bCs/>
        </w:rPr>
        <w:t>6 miesięcy</w:t>
      </w:r>
      <w:r w:rsidRPr="00B42EDA">
        <w:rPr>
          <w:rFonts w:ascii="Times New Roman" w:hAnsi="Times New Roman" w:cs="Times New Roman"/>
          <w:b/>
          <w:bCs/>
        </w:rPr>
        <w:t xml:space="preserve"> </w:t>
      </w:r>
      <w:r w:rsidRPr="00B42EDA">
        <w:rPr>
          <w:rFonts w:ascii="Times New Roman" w:hAnsi="Times New Roman" w:cs="Times New Roman"/>
        </w:rPr>
        <w:t xml:space="preserve">od uprawomocnienia się orzeczenia, natomiast organy władzy publicznej – tak jak dotychczas – </w:t>
      </w:r>
      <w:r w:rsidRPr="00B42EDA">
        <w:rPr>
          <w:rFonts w:ascii="Times New Roman" w:hAnsi="Times New Roman" w:cs="Times New Roman"/>
          <w:b/>
          <w:bCs/>
        </w:rPr>
        <w:t xml:space="preserve">5 lat </w:t>
      </w:r>
      <w:r w:rsidRPr="00B42EDA">
        <w:rPr>
          <w:rFonts w:ascii="Times New Roman" w:hAnsi="Times New Roman" w:cs="Times New Roman"/>
        </w:rPr>
        <w:t xml:space="preserve">w terminie od uprawomocnienia się orzeczenia, a jeżeli od orzeczenia została wniesiona kasacja albo skarga kasacyjna - w terminie </w:t>
      </w:r>
      <w:r w:rsidRPr="00B42EDA">
        <w:rPr>
          <w:rFonts w:ascii="Times New Roman" w:hAnsi="Times New Roman" w:cs="Times New Roman"/>
          <w:b/>
          <w:bCs/>
        </w:rPr>
        <w:t>roku</w:t>
      </w:r>
      <w:r w:rsidRPr="00B42EDA">
        <w:rPr>
          <w:rFonts w:ascii="Times New Roman" w:hAnsi="Times New Roman" w:cs="Times New Roman"/>
        </w:rPr>
        <w:t xml:space="preserve"> od dnia ich rozpoznania (art. 89 §3 ustawy o SN). </w:t>
      </w:r>
    </w:p>
    <w:p w14:paraId="47B6A815" w14:textId="5340977A" w:rsidR="005C4DE6" w:rsidRPr="00B42EDA" w:rsidRDefault="005C4DE6" w:rsidP="005C4DE6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B42EDA">
        <w:rPr>
          <w:rFonts w:ascii="Times New Roman" w:hAnsi="Times New Roman" w:cs="Times New Roman"/>
          <w:b/>
          <w:bCs/>
        </w:rPr>
        <w:t>Przymus adwokacko-radcowski</w:t>
      </w:r>
    </w:p>
    <w:p w14:paraId="35F8F81A" w14:textId="749FC6E9" w:rsidR="005B0E4F" w:rsidRPr="00B42EDA" w:rsidRDefault="008931C6" w:rsidP="00C32EA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42EDA">
        <w:rPr>
          <w:rFonts w:ascii="Times New Roman" w:hAnsi="Times New Roman" w:cs="Times New Roman"/>
        </w:rPr>
        <w:t>Osobiste złożenie skargi nadzwyczajnej powinno wymagać profesjonalnego zastępstwa procesowego (przymus adwokacko-radcowski), z zastrzeżeniem standardowych wyjątków: składanie skargi</w:t>
      </w:r>
      <w:r w:rsidR="006E7243" w:rsidRPr="00B42EDA">
        <w:rPr>
          <w:rFonts w:ascii="Times New Roman" w:hAnsi="Times New Roman" w:cs="Times New Roman"/>
        </w:rPr>
        <w:t xml:space="preserve"> </w:t>
      </w:r>
      <w:r w:rsidRPr="00B42EDA">
        <w:rPr>
          <w:rFonts w:ascii="Times New Roman" w:hAnsi="Times New Roman" w:cs="Times New Roman"/>
        </w:rPr>
        <w:t xml:space="preserve">przez sędziego, notariusza, </w:t>
      </w:r>
      <w:r w:rsidR="006E7243" w:rsidRPr="00B42EDA">
        <w:rPr>
          <w:rFonts w:ascii="Times New Roman" w:hAnsi="Times New Roman" w:cs="Times New Roman"/>
        </w:rPr>
        <w:t xml:space="preserve">prokuratora, </w:t>
      </w:r>
      <w:r w:rsidRPr="00B42EDA">
        <w:rPr>
          <w:rFonts w:ascii="Times New Roman" w:hAnsi="Times New Roman" w:cs="Times New Roman"/>
        </w:rPr>
        <w:t xml:space="preserve">doktora habilitowanego nauk prawnych itd. </w:t>
      </w:r>
      <w:r w:rsidR="00C32EAB">
        <w:rPr>
          <w:rFonts w:ascii="Times New Roman" w:hAnsi="Times New Roman" w:cs="Times New Roman"/>
        </w:rPr>
        <w:t xml:space="preserve">Strona, której nie stać na opłacenie pełnomocnika, będzie mogła starać się o ustanowienie pełnomocnika z </w:t>
      </w:r>
      <w:r w:rsidR="00C32EAB">
        <w:rPr>
          <w:rFonts w:ascii="Times New Roman" w:hAnsi="Times New Roman" w:cs="Times New Roman"/>
        </w:rPr>
        <w:lastRenderedPageBreak/>
        <w:t xml:space="preserve">urzędu, na zasadach ogólnych określonych w Kodeksie postępowania cywilnego i Kodeksie postępowania karnego. </w:t>
      </w:r>
    </w:p>
    <w:p w14:paraId="099FBC6A" w14:textId="66036C45" w:rsidR="005C4DE6" w:rsidRPr="00B42EDA" w:rsidRDefault="005C4DE6" w:rsidP="005C4DE6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B42EDA">
        <w:rPr>
          <w:rFonts w:ascii="Times New Roman" w:hAnsi="Times New Roman" w:cs="Times New Roman"/>
          <w:b/>
          <w:bCs/>
        </w:rPr>
        <w:t>Wprowadzenie przedsądu</w:t>
      </w:r>
    </w:p>
    <w:p w14:paraId="44221A2A" w14:textId="2840FCB1" w:rsidR="005C4DE6" w:rsidRPr="00B42EDA" w:rsidRDefault="005C4DE6" w:rsidP="001A3E4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42EDA">
        <w:rPr>
          <w:rFonts w:ascii="Times New Roman" w:hAnsi="Times New Roman" w:cs="Times New Roman"/>
        </w:rPr>
        <w:t>Aby uniknąć nadmiernego wzrostu liczby skarg nadzwyczajnych rozpatrywanych przez Sąd Najwyższy, w</w:t>
      </w:r>
      <w:r w:rsidR="00F85C47" w:rsidRPr="00B42EDA">
        <w:rPr>
          <w:rFonts w:ascii="Times New Roman" w:hAnsi="Times New Roman" w:cs="Times New Roman"/>
        </w:rPr>
        <w:t>prowadz</w:t>
      </w:r>
      <w:r w:rsidR="00B42EDA" w:rsidRPr="00B42EDA">
        <w:rPr>
          <w:rFonts w:ascii="Times New Roman" w:hAnsi="Times New Roman" w:cs="Times New Roman"/>
        </w:rPr>
        <w:t>a się</w:t>
      </w:r>
      <w:r w:rsidRPr="00B42EDA">
        <w:rPr>
          <w:rFonts w:ascii="Times New Roman" w:hAnsi="Times New Roman" w:cs="Times New Roman"/>
        </w:rPr>
        <w:t xml:space="preserve"> etap preselekcji</w:t>
      </w:r>
      <w:r w:rsidR="00B42EDA" w:rsidRPr="00B42EDA">
        <w:rPr>
          <w:rFonts w:ascii="Times New Roman" w:hAnsi="Times New Roman" w:cs="Times New Roman"/>
        </w:rPr>
        <w:t xml:space="preserve"> (przedsąd)</w:t>
      </w:r>
      <w:r w:rsidRPr="00B42EDA">
        <w:rPr>
          <w:rFonts w:ascii="Times New Roman" w:hAnsi="Times New Roman" w:cs="Times New Roman"/>
        </w:rPr>
        <w:t xml:space="preserve"> dokonywanej w składzie 1 sędziego. </w:t>
      </w:r>
      <w:r w:rsidR="00B42EDA" w:rsidRPr="00B42EDA">
        <w:rPr>
          <w:rFonts w:ascii="Times New Roman" w:hAnsi="Times New Roman" w:cs="Times New Roman"/>
        </w:rPr>
        <w:t xml:space="preserve">Na tym etapie </w:t>
      </w:r>
      <w:r w:rsidRPr="00B42EDA">
        <w:rPr>
          <w:rFonts w:ascii="Times New Roman" w:hAnsi="Times New Roman" w:cs="Times New Roman"/>
        </w:rPr>
        <w:t>Sąd Najwyższy nie rozstrzyga o meritum skargi, a jedynie o jej przyjęciu do rozpoznania. Przyjęcie do rozpoznania skargi byłoby równoznaczne z przekazaniem jej do powiększonego składu, który wydałby już orzeczenie merytoryczne. Postanowienia o odmowie przyjęcia skargi nadzwyczajnej do rozpoznania powinny zawierać uzasadnienie.</w:t>
      </w:r>
    </w:p>
    <w:p w14:paraId="4D0DD993" w14:textId="45CC2A42" w:rsidR="00F85C47" w:rsidRPr="00B42EDA" w:rsidRDefault="005C4DE6" w:rsidP="001A3E4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42EDA">
        <w:rPr>
          <w:rFonts w:ascii="Times New Roman" w:hAnsi="Times New Roman" w:cs="Times New Roman"/>
        </w:rPr>
        <w:t xml:space="preserve">Skarga nadzwyczajna </w:t>
      </w:r>
      <w:r w:rsidR="00B42EDA" w:rsidRPr="00B42EDA">
        <w:rPr>
          <w:rFonts w:ascii="Times New Roman" w:hAnsi="Times New Roman" w:cs="Times New Roman"/>
        </w:rPr>
        <w:t xml:space="preserve">oprócz określenia zakresu zaskarżenia orz wskazania i uzasadnienia podstaw powinna </w:t>
      </w:r>
      <w:r w:rsidRPr="00B42EDA">
        <w:rPr>
          <w:rFonts w:ascii="Times New Roman" w:hAnsi="Times New Roman" w:cs="Times New Roman"/>
        </w:rPr>
        <w:t>z</w:t>
      </w:r>
      <w:r w:rsidR="00B42EDA" w:rsidRPr="00B42EDA">
        <w:rPr>
          <w:rFonts w:ascii="Times New Roman" w:hAnsi="Times New Roman" w:cs="Times New Roman"/>
        </w:rPr>
        <w:t>a</w:t>
      </w:r>
      <w:r w:rsidRPr="00B42EDA">
        <w:rPr>
          <w:rFonts w:ascii="Times New Roman" w:hAnsi="Times New Roman" w:cs="Times New Roman"/>
        </w:rPr>
        <w:t>wierać wniosek</w:t>
      </w:r>
      <w:r w:rsidR="00F85C47" w:rsidRPr="00B42EDA">
        <w:rPr>
          <w:rFonts w:ascii="Times New Roman" w:hAnsi="Times New Roman" w:cs="Times New Roman"/>
        </w:rPr>
        <w:t xml:space="preserve"> o przyjęcie </w:t>
      </w:r>
      <w:r w:rsidRPr="00B42EDA">
        <w:rPr>
          <w:rFonts w:ascii="Times New Roman" w:hAnsi="Times New Roman" w:cs="Times New Roman"/>
        </w:rPr>
        <w:t>jej</w:t>
      </w:r>
      <w:r w:rsidR="00F85C47" w:rsidRPr="00B42EDA">
        <w:rPr>
          <w:rFonts w:ascii="Times New Roman" w:hAnsi="Times New Roman" w:cs="Times New Roman"/>
        </w:rPr>
        <w:t xml:space="preserve"> do merytorycznego rozpoznania wraz z uzasadnieniem. </w:t>
      </w:r>
    </w:p>
    <w:p w14:paraId="0032D86D" w14:textId="39A58EF9" w:rsidR="005C4DE6" w:rsidRPr="00B42EDA" w:rsidRDefault="00F85C47" w:rsidP="001A3E4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42EDA">
        <w:rPr>
          <w:rFonts w:ascii="Times New Roman" w:hAnsi="Times New Roman" w:cs="Times New Roman"/>
        </w:rPr>
        <w:t>We wniosku o przyjęcie skargi nadzwyczajnej do rozpoznania skarżący powinien wykazać, że wzruszenie zaskarżonego orzeczenia jest konieczne dla zapewnienia zgodności z zasadą demokratycznego państwa prawnego urzeczywistniającego zasady sprawiedliwości społecznej – w skardze nadzwyczajnej powinno zostać precyzyjnie wyjaśnione, jaka zasada wynikająca z zasady demokratycznego państwa prawnego została naruszona wskutek zaskarżonego orzeczenia oraz na czym konkretnie polegało to naruszenie</w:t>
      </w:r>
      <w:r w:rsidR="005C4DE6" w:rsidRPr="00B42EDA">
        <w:rPr>
          <w:rFonts w:ascii="Times New Roman" w:hAnsi="Times New Roman" w:cs="Times New Roman"/>
        </w:rPr>
        <w:t xml:space="preserve"> </w:t>
      </w:r>
      <w:r w:rsidRPr="00B42EDA">
        <w:rPr>
          <w:rFonts w:ascii="Times New Roman" w:hAnsi="Times New Roman" w:cs="Times New Roman"/>
        </w:rPr>
        <w:t>oraz</w:t>
      </w:r>
      <w:r w:rsidR="005C4DE6" w:rsidRPr="00B42EDA">
        <w:rPr>
          <w:rFonts w:ascii="Times New Roman" w:hAnsi="Times New Roman" w:cs="Times New Roman"/>
        </w:rPr>
        <w:t xml:space="preserve"> 1) </w:t>
      </w:r>
      <w:r w:rsidRPr="00B42EDA">
        <w:rPr>
          <w:rFonts w:ascii="Times New Roman" w:hAnsi="Times New Roman" w:cs="Times New Roman"/>
        </w:rPr>
        <w:t xml:space="preserve">skarga jest oczywiście </w:t>
      </w:r>
      <w:r w:rsidR="003575F5" w:rsidRPr="00B42EDA">
        <w:rPr>
          <w:rFonts w:ascii="Times New Roman" w:hAnsi="Times New Roman" w:cs="Times New Roman"/>
        </w:rPr>
        <w:t>zasadna w zakresie naruszenia przepisów prawa</w:t>
      </w:r>
      <w:r w:rsidRPr="00B42EDA">
        <w:rPr>
          <w:rFonts w:ascii="Times New Roman" w:hAnsi="Times New Roman" w:cs="Times New Roman"/>
        </w:rPr>
        <w:t xml:space="preserve">; </w:t>
      </w:r>
      <w:r w:rsidR="005C4DE6" w:rsidRPr="00B42EDA">
        <w:rPr>
          <w:rFonts w:ascii="Times New Roman" w:hAnsi="Times New Roman" w:cs="Times New Roman"/>
        </w:rPr>
        <w:t xml:space="preserve">lub 2) </w:t>
      </w:r>
      <w:r w:rsidR="006952C8" w:rsidRPr="00B42EDA">
        <w:rPr>
          <w:rFonts w:ascii="Times New Roman" w:hAnsi="Times New Roman" w:cs="Times New Roman"/>
        </w:rPr>
        <w:t>zaskarżone orzeczenie jest oczywiście niesłuszne</w:t>
      </w:r>
      <w:r w:rsidR="005C4DE6" w:rsidRPr="00B42EDA">
        <w:rPr>
          <w:rFonts w:ascii="Times New Roman" w:hAnsi="Times New Roman" w:cs="Times New Roman"/>
        </w:rPr>
        <w:t xml:space="preserve">; lub 3) </w:t>
      </w:r>
      <w:r w:rsidRPr="00B42EDA">
        <w:rPr>
          <w:rFonts w:ascii="Times New Roman" w:hAnsi="Times New Roman" w:cs="Times New Roman"/>
        </w:rPr>
        <w:t>w sprawie występuje istotne zagadnienie prawne;</w:t>
      </w:r>
      <w:r w:rsidR="005C4DE6" w:rsidRPr="00B42EDA">
        <w:rPr>
          <w:rFonts w:ascii="Times New Roman" w:hAnsi="Times New Roman" w:cs="Times New Roman"/>
        </w:rPr>
        <w:t xml:space="preserve"> </w:t>
      </w:r>
      <w:r w:rsidRPr="00B42EDA">
        <w:rPr>
          <w:rFonts w:ascii="Times New Roman" w:hAnsi="Times New Roman" w:cs="Times New Roman"/>
        </w:rPr>
        <w:t>lub</w:t>
      </w:r>
      <w:r w:rsidR="005C4DE6" w:rsidRPr="00B42EDA">
        <w:rPr>
          <w:rFonts w:ascii="Times New Roman" w:hAnsi="Times New Roman" w:cs="Times New Roman"/>
        </w:rPr>
        <w:t xml:space="preserve"> 4</w:t>
      </w:r>
      <w:r w:rsidRPr="00B42EDA">
        <w:rPr>
          <w:rFonts w:ascii="Times New Roman" w:hAnsi="Times New Roman" w:cs="Times New Roman"/>
        </w:rPr>
        <w:t xml:space="preserve">) zachodzi nieważność postępowania. </w:t>
      </w:r>
    </w:p>
    <w:p w14:paraId="2A5652DB" w14:textId="4E7835B7" w:rsidR="006073C5" w:rsidRPr="00B42EDA" w:rsidRDefault="005C4DE6" w:rsidP="001A3E4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42EDA">
        <w:rPr>
          <w:rFonts w:ascii="Times New Roman" w:hAnsi="Times New Roman" w:cs="Times New Roman"/>
        </w:rPr>
        <w:t>Trzy z wymienionych przesłanek ma</w:t>
      </w:r>
      <w:r w:rsidR="00B42EDA">
        <w:rPr>
          <w:rFonts w:ascii="Times New Roman" w:hAnsi="Times New Roman" w:cs="Times New Roman"/>
        </w:rPr>
        <w:t>ją</w:t>
      </w:r>
      <w:r w:rsidRPr="00B42EDA">
        <w:rPr>
          <w:rFonts w:ascii="Times New Roman" w:hAnsi="Times New Roman" w:cs="Times New Roman"/>
        </w:rPr>
        <w:t xml:space="preserve"> już ugruntowane znaczenie w orzecznictwie Sądu Najwyższego, ponieważ występują one również w przedsądzie dotyczącym skarg. Projekt wprowadza jeszcze czwartą, nową przesłankę w postaci oczywistej niesłuszności orzeczenia</w:t>
      </w:r>
      <w:r w:rsidR="006073C5" w:rsidRPr="00B42EDA">
        <w:rPr>
          <w:rFonts w:ascii="Times New Roman" w:hAnsi="Times New Roman" w:cs="Times New Roman"/>
        </w:rPr>
        <w:t xml:space="preserve">, stanowiąca odpowiedź na rygorystyczne i formalistyczne interpretowanie przesłanki oczywistej zasadności przez Sąd Najwyższy przy rozpoznawaniu skarg kasacyjnych. Sąd Najwyższy zawęził pojęcie oczywistej zasadności do sytuacji </w:t>
      </w:r>
      <w:r w:rsidR="00B42EDA">
        <w:rPr>
          <w:rFonts w:ascii="Times New Roman" w:hAnsi="Times New Roman" w:cs="Times New Roman"/>
        </w:rPr>
        <w:t>ewidentnych</w:t>
      </w:r>
      <w:r w:rsidR="006073C5" w:rsidRPr="00B42EDA">
        <w:rPr>
          <w:rFonts w:ascii="Times New Roman" w:hAnsi="Times New Roman" w:cs="Times New Roman"/>
        </w:rPr>
        <w:t xml:space="preserve">, gdy naruszenie prawa jest widoczne na pierwszy rzut oka dla przeciętnego prawnika, bez konieczności przeprowadzania pogłębionej analizy (postanowienia SN z: 21 września 2005 r., II CK 330/05; 5 października 2007 r., III CSK 216/07; 26 lutego 2008 r., II UK 317/07; 26 kwietnia 2018 r., IV CSK 577/17; 29 marca 2019 r., V CSK 326/18). </w:t>
      </w:r>
    </w:p>
    <w:p w14:paraId="452ECD4E" w14:textId="041EF13E" w:rsidR="00274A20" w:rsidRPr="00B42EDA" w:rsidRDefault="002A3BC9" w:rsidP="00B42ED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42EDA">
        <w:rPr>
          <w:rFonts w:ascii="Times New Roman" w:hAnsi="Times New Roman" w:cs="Times New Roman"/>
        </w:rPr>
        <w:t>Wprowadzenie dodatkowej przesłanki w postaci oczywistej niesłuszności orzeczenia</w:t>
      </w:r>
      <w:r w:rsidR="00B42EDA">
        <w:rPr>
          <w:rFonts w:ascii="Times New Roman" w:hAnsi="Times New Roman" w:cs="Times New Roman"/>
        </w:rPr>
        <w:t xml:space="preserve"> nieco łagodzi formalistyczne rozumienie „oczywistej zasadności”, pozwalając na wniesienie skargi nadzwyczajnej także w przypadkach mniej oczywistych z prawnego punktu widzenia, ale wzbudzających sprzeciw z punktu widzenia społecznego poczucia sprawiedliwości. Tym samym umożliwia </w:t>
      </w:r>
      <w:r w:rsidRPr="00B42EDA">
        <w:rPr>
          <w:rFonts w:ascii="Times New Roman" w:hAnsi="Times New Roman" w:cs="Times New Roman"/>
        </w:rPr>
        <w:t xml:space="preserve">realizację w głębszym stopniu konstytucyjnego prawa do sprawiedliwego sądu, pozwalając </w:t>
      </w:r>
      <w:r w:rsidRPr="00B42EDA">
        <w:rPr>
          <w:rFonts w:ascii="Times New Roman" w:hAnsi="Times New Roman" w:cs="Times New Roman"/>
        </w:rPr>
        <w:lastRenderedPageBreak/>
        <w:t>skarżącemu odwołać się do szeroko pojętej zasady słuszności</w:t>
      </w:r>
      <w:r w:rsidR="00274A20" w:rsidRPr="00B42EDA">
        <w:rPr>
          <w:rFonts w:ascii="Times New Roman" w:hAnsi="Times New Roman" w:cs="Times New Roman"/>
        </w:rPr>
        <w:t xml:space="preserve">, czyli zespołu podstawowych i obiektywnych wartości moralnych, które są powszechnie uznawane w społeczeństwie. Przesłanka ta, co oczywiste, ma charakter nieostry, pozostawiając Sądowi Najwyższemu pewną swobodę interpretacyjną przy ustalaniu jej treści.   </w:t>
      </w:r>
    </w:p>
    <w:p w14:paraId="354924E9" w14:textId="066AAB00" w:rsidR="002A3BC9" w:rsidRPr="00B42EDA" w:rsidRDefault="002A3BC9" w:rsidP="002A3BC9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B42EDA">
        <w:rPr>
          <w:rFonts w:ascii="Times New Roman" w:hAnsi="Times New Roman" w:cs="Times New Roman"/>
          <w:b/>
          <w:bCs/>
        </w:rPr>
        <w:t>Wydłużenie okresu przejściowego</w:t>
      </w:r>
    </w:p>
    <w:p w14:paraId="25ED43D3" w14:textId="32198F32" w:rsidR="006952C8" w:rsidRDefault="001E28B7" w:rsidP="001A3E4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42EDA">
        <w:rPr>
          <w:rFonts w:ascii="Times New Roman" w:hAnsi="Times New Roman" w:cs="Times New Roman"/>
        </w:rPr>
        <w:t>Projekt przewiduje również w</w:t>
      </w:r>
      <w:r w:rsidR="005C29B2" w:rsidRPr="00B42EDA">
        <w:rPr>
          <w:rFonts w:ascii="Times New Roman" w:hAnsi="Times New Roman" w:cs="Times New Roman"/>
        </w:rPr>
        <w:t>ydłużenie</w:t>
      </w:r>
      <w:r w:rsidR="00D14A4A" w:rsidRPr="00B42EDA">
        <w:rPr>
          <w:rFonts w:ascii="Times New Roman" w:hAnsi="Times New Roman" w:cs="Times New Roman"/>
        </w:rPr>
        <w:t xml:space="preserve"> o 2 lata</w:t>
      </w:r>
      <w:r w:rsidR="005C29B2" w:rsidRPr="00B42EDA">
        <w:rPr>
          <w:rFonts w:ascii="Times New Roman" w:hAnsi="Times New Roman" w:cs="Times New Roman"/>
        </w:rPr>
        <w:t xml:space="preserve"> o</w:t>
      </w:r>
      <w:r w:rsidR="006952C8" w:rsidRPr="00B42EDA">
        <w:rPr>
          <w:rFonts w:ascii="Times New Roman" w:hAnsi="Times New Roman" w:cs="Times New Roman"/>
        </w:rPr>
        <w:t>kres</w:t>
      </w:r>
      <w:r w:rsidR="005C29B2" w:rsidRPr="00B42EDA">
        <w:rPr>
          <w:rFonts w:ascii="Times New Roman" w:hAnsi="Times New Roman" w:cs="Times New Roman"/>
        </w:rPr>
        <w:t>u</w:t>
      </w:r>
      <w:r w:rsidR="006952C8" w:rsidRPr="00B42EDA">
        <w:rPr>
          <w:rFonts w:ascii="Times New Roman" w:hAnsi="Times New Roman" w:cs="Times New Roman"/>
        </w:rPr>
        <w:t xml:space="preserve"> przejściow</w:t>
      </w:r>
      <w:r w:rsidR="005C29B2" w:rsidRPr="00B42EDA">
        <w:rPr>
          <w:rFonts w:ascii="Times New Roman" w:hAnsi="Times New Roman" w:cs="Times New Roman"/>
        </w:rPr>
        <w:t>ego, w trakcie którego dopuszczalne jest zaskarżanie orzeczeń</w:t>
      </w:r>
      <w:r w:rsidRPr="00B42EDA">
        <w:rPr>
          <w:rFonts w:ascii="Times New Roman" w:hAnsi="Times New Roman" w:cs="Times New Roman"/>
        </w:rPr>
        <w:t xml:space="preserve">, które zostały wydane i uprawomocniły się po wejściu w życie Konstytucji RP tj. po 17 października </w:t>
      </w:r>
      <w:r w:rsidR="00D14A4A" w:rsidRPr="00B42EDA">
        <w:rPr>
          <w:rFonts w:ascii="Times New Roman" w:hAnsi="Times New Roman" w:cs="Times New Roman"/>
        </w:rPr>
        <w:t>1997 roku. Przepis zastrzega jednak taką możliwość</w:t>
      </w:r>
      <w:r w:rsidR="005C29B2" w:rsidRPr="00B42EDA">
        <w:rPr>
          <w:rFonts w:ascii="Times New Roman" w:hAnsi="Times New Roman" w:cs="Times New Roman"/>
        </w:rPr>
        <w:t xml:space="preserve"> </w:t>
      </w:r>
      <w:r w:rsidR="006952C8" w:rsidRPr="00B42EDA">
        <w:rPr>
          <w:rFonts w:ascii="Times New Roman" w:hAnsi="Times New Roman" w:cs="Times New Roman"/>
        </w:rPr>
        <w:t>dla P</w:t>
      </w:r>
      <w:r w:rsidR="005C29B2" w:rsidRPr="00B42EDA">
        <w:rPr>
          <w:rFonts w:ascii="Times New Roman" w:hAnsi="Times New Roman" w:cs="Times New Roman"/>
        </w:rPr>
        <w:t xml:space="preserve">rokuratora </w:t>
      </w:r>
      <w:r w:rsidR="006952C8" w:rsidRPr="00B42EDA">
        <w:rPr>
          <w:rFonts w:ascii="Times New Roman" w:hAnsi="Times New Roman" w:cs="Times New Roman"/>
        </w:rPr>
        <w:t>G</w:t>
      </w:r>
      <w:r w:rsidR="005C29B2" w:rsidRPr="00B42EDA">
        <w:rPr>
          <w:rFonts w:ascii="Times New Roman" w:hAnsi="Times New Roman" w:cs="Times New Roman"/>
        </w:rPr>
        <w:t xml:space="preserve">eneralnego </w:t>
      </w:r>
      <w:r w:rsidR="006952C8" w:rsidRPr="00B42EDA">
        <w:rPr>
          <w:rFonts w:ascii="Times New Roman" w:hAnsi="Times New Roman" w:cs="Times New Roman"/>
        </w:rPr>
        <w:t>i R</w:t>
      </w:r>
      <w:r w:rsidR="00D14A4A" w:rsidRPr="00B42EDA">
        <w:rPr>
          <w:rFonts w:ascii="Times New Roman" w:hAnsi="Times New Roman" w:cs="Times New Roman"/>
        </w:rPr>
        <w:t xml:space="preserve">zecznika </w:t>
      </w:r>
      <w:r w:rsidR="006952C8" w:rsidRPr="00B42EDA">
        <w:rPr>
          <w:rFonts w:ascii="Times New Roman" w:hAnsi="Times New Roman" w:cs="Times New Roman"/>
        </w:rPr>
        <w:t>P</w:t>
      </w:r>
      <w:r w:rsidR="00D14A4A" w:rsidRPr="00B42EDA">
        <w:rPr>
          <w:rFonts w:ascii="Times New Roman" w:hAnsi="Times New Roman" w:cs="Times New Roman"/>
        </w:rPr>
        <w:t xml:space="preserve">raw </w:t>
      </w:r>
      <w:r w:rsidR="006952C8" w:rsidRPr="00B42EDA">
        <w:rPr>
          <w:rFonts w:ascii="Times New Roman" w:hAnsi="Times New Roman" w:cs="Times New Roman"/>
        </w:rPr>
        <w:t>O</w:t>
      </w:r>
      <w:r w:rsidR="00D14A4A" w:rsidRPr="00B42EDA">
        <w:rPr>
          <w:rFonts w:ascii="Times New Roman" w:hAnsi="Times New Roman" w:cs="Times New Roman"/>
        </w:rPr>
        <w:t>bywatelskich</w:t>
      </w:r>
      <w:r w:rsidR="005C29B2" w:rsidRPr="00B42EDA">
        <w:rPr>
          <w:rFonts w:ascii="Times New Roman" w:hAnsi="Times New Roman" w:cs="Times New Roman"/>
        </w:rPr>
        <w:t xml:space="preserve"> (tak jak to </w:t>
      </w:r>
      <w:r w:rsidR="00D14A4A" w:rsidRPr="00B42EDA">
        <w:rPr>
          <w:rFonts w:ascii="Times New Roman" w:hAnsi="Times New Roman" w:cs="Times New Roman"/>
        </w:rPr>
        <w:t>było dotychczas</w:t>
      </w:r>
      <w:r w:rsidR="005C29B2" w:rsidRPr="00B42EDA">
        <w:rPr>
          <w:rFonts w:ascii="Times New Roman" w:hAnsi="Times New Roman" w:cs="Times New Roman"/>
        </w:rPr>
        <w:t>)</w:t>
      </w:r>
      <w:r w:rsidR="00D14A4A" w:rsidRPr="00B42EDA">
        <w:rPr>
          <w:rFonts w:ascii="Times New Roman" w:hAnsi="Times New Roman" w:cs="Times New Roman"/>
        </w:rPr>
        <w:t xml:space="preserve">, aby uniknąć nadmiernego ograniczenia zasady stabilności prawomocnych orzeczeń sądowych. </w:t>
      </w:r>
    </w:p>
    <w:p w14:paraId="1997496F" w14:textId="2826E969" w:rsidR="00B42EDA" w:rsidRPr="00B42EDA" w:rsidRDefault="00B42EDA" w:rsidP="001A3E4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doprecyzowano przepis przejściowy, wskazując, że chodzi o orzeczenia wydane i uprawomocnione po 17 października 1997 roku . Dotychczasowe brzmienie, mówiące o orzeczeniach uprawomocnionych po 17 października 1997 r., budziło wątpliwości z punktu widzenia zasady niedziałania prawa wstecz, ponieważ  pozwalało zaskarżać orzeczenia, które zostały wydane przed wejściem w życie Konstytucji z 2 kwietnia 1997 r.</w:t>
      </w:r>
    </w:p>
    <w:p w14:paraId="0C4536B2" w14:textId="5D8C9B07" w:rsidR="003575F5" w:rsidRDefault="001A3E4F" w:rsidP="001C7FA3">
      <w:pPr>
        <w:spacing w:line="360" w:lineRule="auto"/>
        <w:ind w:firstLine="708"/>
        <w:rPr>
          <w:rFonts w:ascii="Times New Roman" w:hAnsi="Times New Roman" w:cs="Times New Roman"/>
          <w:b/>
          <w:bCs/>
        </w:rPr>
      </w:pPr>
      <w:r w:rsidRPr="00B42EDA">
        <w:rPr>
          <w:rFonts w:ascii="Times New Roman" w:hAnsi="Times New Roman" w:cs="Times New Roman"/>
          <w:b/>
          <w:bCs/>
        </w:rPr>
        <w:t>Skutki</w:t>
      </w:r>
      <w:r w:rsidR="00C32EAB">
        <w:rPr>
          <w:rFonts w:ascii="Times New Roman" w:hAnsi="Times New Roman" w:cs="Times New Roman"/>
          <w:b/>
          <w:bCs/>
        </w:rPr>
        <w:t xml:space="preserve"> społeczne,</w:t>
      </w:r>
      <w:r w:rsidRPr="00B42EDA">
        <w:rPr>
          <w:rFonts w:ascii="Times New Roman" w:hAnsi="Times New Roman" w:cs="Times New Roman"/>
          <w:b/>
          <w:bCs/>
        </w:rPr>
        <w:t xml:space="preserve"> gospodarcze i finansowe</w:t>
      </w:r>
    </w:p>
    <w:p w14:paraId="76244D95" w14:textId="4D419DD9" w:rsidR="00C32EAB" w:rsidRPr="00C32EAB" w:rsidRDefault="00C32EAB" w:rsidP="00C32EA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przyczyni się do zwiększenia społecznego autorytetu wymiaru sprawiedliwości, pozwalając na korektę krzywdzących dla obywateli orzeczeń, wydanych z rażącym naruszeniem prawa. Nastąpi wzrost liczby skarg nadzwyczajnych wpływających do Sądu Najwyższego, który jednak dzięki przymusowi adwokacko-radcowskiemu i mechanizmowi przedsądu pozostanie pod kontrolą. </w:t>
      </w:r>
    </w:p>
    <w:p w14:paraId="7E35F165" w14:textId="55D8E921" w:rsidR="001A3E4F" w:rsidRPr="00B42EDA" w:rsidRDefault="001A3E4F" w:rsidP="00D16B7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42EDA">
        <w:rPr>
          <w:rFonts w:ascii="Times New Roman" w:hAnsi="Times New Roman" w:cs="Times New Roman"/>
        </w:rPr>
        <w:t>Projekt nie ma wpływu na konkurencyjność gospodarki i przedsiębiorczość, w tym funkcjonowanie przedsiębiorców, a zwłaszcza mikroprzedsiębiorców, małych i średnich przedsiębiorców.</w:t>
      </w:r>
    </w:p>
    <w:p w14:paraId="789AB227" w14:textId="06A5CF45" w:rsidR="001A3E4F" w:rsidRPr="00B42EDA" w:rsidRDefault="001A3E4F" w:rsidP="0018500F">
      <w:pPr>
        <w:spacing w:line="360" w:lineRule="auto"/>
        <w:ind w:firstLine="708"/>
        <w:rPr>
          <w:rFonts w:ascii="Times New Roman" w:hAnsi="Times New Roman" w:cs="Times New Roman"/>
        </w:rPr>
      </w:pPr>
      <w:r w:rsidRPr="00B42EDA">
        <w:rPr>
          <w:rFonts w:ascii="Times New Roman" w:hAnsi="Times New Roman" w:cs="Times New Roman"/>
        </w:rPr>
        <w:t xml:space="preserve">Projekt nie pociąga za sobą dodatkowych nakładów finansowych z budżetu państwa. </w:t>
      </w:r>
    </w:p>
    <w:p w14:paraId="7BF82C1A" w14:textId="0E649BD2" w:rsidR="001A3E4F" w:rsidRPr="00B42EDA" w:rsidRDefault="001A3E4F" w:rsidP="001C7FA3">
      <w:pPr>
        <w:spacing w:line="360" w:lineRule="auto"/>
        <w:ind w:firstLine="708"/>
        <w:rPr>
          <w:rFonts w:ascii="Times New Roman" w:hAnsi="Times New Roman" w:cs="Times New Roman"/>
          <w:b/>
          <w:bCs/>
        </w:rPr>
      </w:pPr>
      <w:r w:rsidRPr="00B42EDA">
        <w:rPr>
          <w:rFonts w:ascii="Times New Roman" w:hAnsi="Times New Roman" w:cs="Times New Roman"/>
          <w:b/>
          <w:bCs/>
        </w:rPr>
        <w:t xml:space="preserve">Zgodność z prawem UE </w:t>
      </w:r>
    </w:p>
    <w:p w14:paraId="72B51EBD" w14:textId="506B12F3" w:rsidR="001A3E4F" w:rsidRPr="00B42EDA" w:rsidRDefault="001A3E4F" w:rsidP="001A3E4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42EDA">
        <w:rPr>
          <w:rFonts w:ascii="Times New Roman" w:hAnsi="Times New Roman" w:cs="Times New Roman"/>
        </w:rPr>
        <w:t>Projekt nie jest objęty zakresem prawa Unii Europejskiej.</w:t>
      </w:r>
    </w:p>
    <w:p w14:paraId="4FCB4422" w14:textId="61B187D7" w:rsidR="001A3E4F" w:rsidRPr="00B42EDA" w:rsidRDefault="001A3E4F" w:rsidP="001A3E4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42EDA">
        <w:rPr>
          <w:rFonts w:ascii="Times New Roman" w:hAnsi="Times New Roman" w:cs="Times New Roman"/>
        </w:rPr>
        <w:t>Projekt nie podlega procedurze notyfikacji zgodnie z trybem przewidzianym w rozporządzeniu Rady Ministrów z dnia 23 grudnia 2002 r. w sprawie sposobu funkcjonowania krajowego systemu notyfikacji norm i aktów prawnych (Dz.U. poz. 2039 oraz z 2004 r. poz. 597).</w:t>
      </w:r>
    </w:p>
    <w:p w14:paraId="11642DC6" w14:textId="7F7C83E2" w:rsidR="001C7FA3" w:rsidRPr="00B42EDA" w:rsidRDefault="001C7FA3" w:rsidP="001C7FA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42EDA">
        <w:rPr>
          <w:rFonts w:ascii="Times New Roman" w:hAnsi="Times New Roman" w:cs="Times New Roman"/>
        </w:rPr>
        <w:t xml:space="preserve">Projekt   nie   wymaga   uzyskania   opinii,   dokonania   powiadomienia,   konsultacji albo uzgodnienia z właściwymi instytucjami i organami Unii Europejskiej, w tym Europejskim Bankiem Centralnym. </w:t>
      </w:r>
    </w:p>
    <w:sectPr w:rsidR="001C7FA3" w:rsidRPr="00B42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EDB3E" w14:textId="77777777" w:rsidR="00B30A8F" w:rsidRDefault="00B30A8F" w:rsidP="002A3BC9">
      <w:pPr>
        <w:spacing w:after="0" w:line="240" w:lineRule="auto"/>
      </w:pPr>
      <w:r>
        <w:separator/>
      </w:r>
    </w:p>
  </w:endnote>
  <w:endnote w:type="continuationSeparator" w:id="0">
    <w:p w14:paraId="06861C52" w14:textId="77777777" w:rsidR="00B30A8F" w:rsidRDefault="00B30A8F" w:rsidP="002A3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43995" w14:textId="77777777" w:rsidR="00B30A8F" w:rsidRDefault="00B30A8F" w:rsidP="002A3BC9">
      <w:pPr>
        <w:spacing w:after="0" w:line="240" w:lineRule="auto"/>
      </w:pPr>
      <w:r>
        <w:separator/>
      </w:r>
    </w:p>
  </w:footnote>
  <w:footnote w:type="continuationSeparator" w:id="0">
    <w:p w14:paraId="778BE0F1" w14:textId="77777777" w:rsidR="00B30A8F" w:rsidRDefault="00B30A8F" w:rsidP="002A3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46F49"/>
    <w:multiLevelType w:val="hybridMultilevel"/>
    <w:tmpl w:val="33B2B450"/>
    <w:lvl w:ilvl="0" w:tplc="D7A8C822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117830"/>
    <w:multiLevelType w:val="hybridMultilevel"/>
    <w:tmpl w:val="E8A6EFC0"/>
    <w:lvl w:ilvl="0" w:tplc="F4088C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051890"/>
    <w:multiLevelType w:val="hybridMultilevel"/>
    <w:tmpl w:val="E3F239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03D37"/>
    <w:multiLevelType w:val="hybridMultilevel"/>
    <w:tmpl w:val="787EE7A6"/>
    <w:lvl w:ilvl="0" w:tplc="7A404C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9D4C5A"/>
    <w:multiLevelType w:val="hybridMultilevel"/>
    <w:tmpl w:val="6C3235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C0179"/>
    <w:multiLevelType w:val="hybridMultilevel"/>
    <w:tmpl w:val="79B0EBF2"/>
    <w:lvl w:ilvl="0" w:tplc="5D0886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3F1955"/>
    <w:multiLevelType w:val="hybridMultilevel"/>
    <w:tmpl w:val="ED1E4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823A7"/>
    <w:multiLevelType w:val="hybridMultilevel"/>
    <w:tmpl w:val="49DA8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E2BD0"/>
    <w:multiLevelType w:val="hybridMultilevel"/>
    <w:tmpl w:val="8674A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924"/>
    <w:rsid w:val="00075038"/>
    <w:rsid w:val="000D074A"/>
    <w:rsid w:val="000F1CF6"/>
    <w:rsid w:val="001155F9"/>
    <w:rsid w:val="00117BF7"/>
    <w:rsid w:val="001508BD"/>
    <w:rsid w:val="0018500F"/>
    <w:rsid w:val="00191F06"/>
    <w:rsid w:val="001A3E4F"/>
    <w:rsid w:val="001C7FA3"/>
    <w:rsid w:val="001E28B7"/>
    <w:rsid w:val="00274A20"/>
    <w:rsid w:val="002A3BC9"/>
    <w:rsid w:val="003575F5"/>
    <w:rsid w:val="00364C5A"/>
    <w:rsid w:val="003944F5"/>
    <w:rsid w:val="003D4B94"/>
    <w:rsid w:val="00422157"/>
    <w:rsid w:val="004529B3"/>
    <w:rsid w:val="00472986"/>
    <w:rsid w:val="00473724"/>
    <w:rsid w:val="004D0D97"/>
    <w:rsid w:val="004E54C9"/>
    <w:rsid w:val="005B0E4F"/>
    <w:rsid w:val="005B3669"/>
    <w:rsid w:val="005C29B2"/>
    <w:rsid w:val="005C4DE6"/>
    <w:rsid w:val="006073C5"/>
    <w:rsid w:val="006952C8"/>
    <w:rsid w:val="006B5472"/>
    <w:rsid w:val="006B5B5F"/>
    <w:rsid w:val="006C4924"/>
    <w:rsid w:val="006D01C7"/>
    <w:rsid w:val="006E7243"/>
    <w:rsid w:val="00702243"/>
    <w:rsid w:val="00790068"/>
    <w:rsid w:val="0079601B"/>
    <w:rsid w:val="00845BB9"/>
    <w:rsid w:val="008931C6"/>
    <w:rsid w:val="008C01C6"/>
    <w:rsid w:val="00940277"/>
    <w:rsid w:val="00951BA9"/>
    <w:rsid w:val="009602ED"/>
    <w:rsid w:val="009C224F"/>
    <w:rsid w:val="00A237EE"/>
    <w:rsid w:val="00A577B4"/>
    <w:rsid w:val="00B30A8F"/>
    <w:rsid w:val="00B42EDA"/>
    <w:rsid w:val="00C32EAB"/>
    <w:rsid w:val="00C62382"/>
    <w:rsid w:val="00D02E32"/>
    <w:rsid w:val="00D14A4A"/>
    <w:rsid w:val="00D16B7C"/>
    <w:rsid w:val="00E416BC"/>
    <w:rsid w:val="00E5313B"/>
    <w:rsid w:val="00EA4816"/>
    <w:rsid w:val="00EC4C98"/>
    <w:rsid w:val="00EF646F"/>
    <w:rsid w:val="00F4230C"/>
    <w:rsid w:val="00F85C47"/>
    <w:rsid w:val="00FA5E69"/>
    <w:rsid w:val="00FC09AC"/>
    <w:rsid w:val="00FE3B9E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AA745"/>
  <w15:chartTrackingRefBased/>
  <w15:docId w15:val="{E641559E-7E1A-41A3-8FFF-048B270D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49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3B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3B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3BC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74A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4A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5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0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1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9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1872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Albus</dc:creator>
  <cp:keywords/>
  <dc:description/>
  <cp:lastModifiedBy>patri</cp:lastModifiedBy>
  <cp:revision>2</cp:revision>
  <dcterms:created xsi:type="dcterms:W3CDTF">2021-02-04T10:59:00Z</dcterms:created>
  <dcterms:modified xsi:type="dcterms:W3CDTF">2021-02-04T10:59:00Z</dcterms:modified>
</cp:coreProperties>
</file>